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D3" w:rsidRDefault="00040CD3" w:rsidP="00040CD3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附件：     </w:t>
      </w:r>
    </w:p>
    <w:p w:rsidR="00040CD3" w:rsidRDefault="00040CD3" w:rsidP="00040CD3">
      <w:pPr>
        <w:spacing w:line="700" w:lineRule="exact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2015化工物流行业30强评选信息收集表</w:t>
      </w:r>
    </w:p>
    <w:p w:rsidR="00040CD3" w:rsidRDefault="00040CD3" w:rsidP="00040CD3">
      <w:pPr>
        <w:spacing w:line="700" w:lineRule="exact"/>
        <w:rPr>
          <w:rFonts w:ascii="宋体" w:hAnsi="宋体" w:hint="eastAsia"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填表说明：</w:t>
      </w:r>
      <w:r>
        <w:rPr>
          <w:rFonts w:ascii="宋体" w:hAnsi="宋体" w:hint="eastAsia"/>
          <w:sz w:val="24"/>
        </w:rPr>
        <w:t>报送企业申报表的同时，请提供以下材料：</w:t>
      </w:r>
    </w:p>
    <w:p w:rsidR="00040CD3" w:rsidRDefault="00040CD3" w:rsidP="00040CD3">
      <w:pPr>
        <w:numPr>
          <w:ilvl w:val="0"/>
          <w:numId w:val="1"/>
        </w:numPr>
        <w:tabs>
          <w:tab w:val="left" w:pos="420"/>
          <w:tab w:val="left" w:pos="540"/>
        </w:tabs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企业简介；</w:t>
      </w:r>
    </w:p>
    <w:p w:rsidR="00040CD3" w:rsidRDefault="00040CD3" w:rsidP="00040CD3">
      <w:pPr>
        <w:numPr>
          <w:ilvl w:val="0"/>
          <w:numId w:val="1"/>
        </w:numPr>
        <w:tabs>
          <w:tab w:val="left" w:pos="420"/>
          <w:tab w:val="left" w:pos="540"/>
        </w:tabs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营业执照副本复印件；</w:t>
      </w:r>
    </w:p>
    <w:p w:rsidR="00040CD3" w:rsidRDefault="00040CD3" w:rsidP="00040CD3">
      <w:pPr>
        <w:numPr>
          <w:ilvl w:val="0"/>
          <w:numId w:val="1"/>
        </w:numPr>
        <w:tabs>
          <w:tab w:val="left" w:pos="420"/>
          <w:tab w:val="left" w:pos="540"/>
        </w:tabs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企业2014年度的资产负债表、损益表和利润表；</w:t>
      </w:r>
    </w:p>
    <w:p w:rsidR="00040CD3" w:rsidRDefault="00040CD3" w:rsidP="00040CD3">
      <w:pPr>
        <w:numPr>
          <w:ilvl w:val="0"/>
          <w:numId w:val="1"/>
        </w:numPr>
        <w:tabs>
          <w:tab w:val="left" w:pos="420"/>
          <w:tab w:val="left" w:pos="540"/>
        </w:tabs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15</w:t>
      </w:r>
      <w:r>
        <w:rPr>
          <w:rFonts w:ascii="宋体" w:hAnsi="宋体" w:hint="eastAsia"/>
          <w:sz w:val="24"/>
        </w:rPr>
        <w:t>—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个</w:t>
      </w:r>
      <w:r>
        <w:rPr>
          <w:rFonts w:ascii="宋体" w:hAnsi="宋体"/>
          <w:sz w:val="24"/>
        </w:rPr>
        <w:t>客户</w:t>
      </w:r>
      <w:r>
        <w:rPr>
          <w:rFonts w:ascii="宋体" w:hAnsi="宋体" w:hint="eastAsia"/>
          <w:sz w:val="24"/>
        </w:rPr>
        <w:t>的资料；</w:t>
      </w:r>
    </w:p>
    <w:p w:rsidR="00040CD3" w:rsidRDefault="00040CD3" w:rsidP="00040CD3">
      <w:pPr>
        <w:numPr>
          <w:ilvl w:val="0"/>
          <w:numId w:val="1"/>
        </w:numPr>
        <w:tabs>
          <w:tab w:val="left" w:pos="420"/>
          <w:tab w:val="left" w:pos="540"/>
        </w:tabs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税务部门出具的纳税证明；</w:t>
      </w:r>
    </w:p>
    <w:p w:rsidR="00040CD3" w:rsidRDefault="00040CD3" w:rsidP="00040CD3">
      <w:pPr>
        <w:numPr>
          <w:ilvl w:val="0"/>
          <w:numId w:val="1"/>
        </w:numPr>
        <w:tabs>
          <w:tab w:val="left" w:pos="420"/>
          <w:tab w:val="left" w:pos="540"/>
        </w:tabs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评级机构出具的企业信用等级证明；</w:t>
      </w:r>
    </w:p>
    <w:p w:rsidR="00040CD3" w:rsidRDefault="00040CD3" w:rsidP="00040CD3">
      <w:pPr>
        <w:numPr>
          <w:ilvl w:val="0"/>
          <w:numId w:val="1"/>
        </w:numPr>
        <w:tabs>
          <w:tab w:val="left" w:pos="420"/>
          <w:tab w:val="left" w:pos="540"/>
        </w:tabs>
        <w:snapToGrid w:val="0"/>
        <w:spacing w:afterLines="50" w:after="156" w:line="360" w:lineRule="auto"/>
        <w:rPr>
          <w:rFonts w:ascii="黑体" w:eastAsia="黑体" w:hAnsi="黑体" w:cs="黑体" w:hint="eastAsia"/>
          <w:b/>
          <w:bCs/>
          <w:sz w:val="24"/>
        </w:rPr>
      </w:pPr>
      <w:r>
        <w:rPr>
          <w:rFonts w:ascii="宋体" w:hAnsi="宋体" w:hint="eastAsia"/>
          <w:sz w:val="24"/>
        </w:rPr>
        <w:t>其他相关材料。</w:t>
      </w:r>
    </w:p>
    <w:p w:rsidR="00040CD3" w:rsidRDefault="00040CD3" w:rsidP="00040CD3">
      <w:pPr>
        <w:snapToGrid w:val="0"/>
        <w:spacing w:line="360" w:lineRule="auto"/>
        <w:rPr>
          <w:rFonts w:ascii="宋体" w:hAnsi="宋体" w:hint="eastAsia"/>
          <w:sz w:val="24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评鉴标准：</w:t>
      </w:r>
      <w:r>
        <w:rPr>
          <w:rFonts w:ascii="宋体" w:hAnsi="宋体" w:hint="eastAsia"/>
          <w:sz w:val="24"/>
        </w:rPr>
        <w:t>具备一定的规模，在服务响应速度和服务态度方面表现优秀，在运</w:t>
      </w:r>
    </w:p>
    <w:p w:rsidR="00040CD3" w:rsidRDefault="00040CD3" w:rsidP="00040CD3">
      <w:pPr>
        <w:snapToGrid w:val="0"/>
        <w:spacing w:line="360" w:lineRule="auto"/>
        <w:rPr>
          <w:rFonts w:ascii="黑体" w:eastAsia="黑体" w:hAnsi="黑体" w:cs="黑体" w:hint="eastAsia"/>
          <w:b/>
          <w:bCs/>
          <w:sz w:val="24"/>
        </w:rPr>
      </w:pPr>
      <w:r>
        <w:rPr>
          <w:rFonts w:ascii="宋体" w:hAnsi="宋体" w:hint="eastAsia"/>
          <w:sz w:val="24"/>
        </w:rPr>
        <w:t xml:space="preserve">           </w:t>
      </w:r>
      <w:proofErr w:type="gramStart"/>
      <w:r>
        <w:rPr>
          <w:rFonts w:ascii="宋体" w:hAnsi="宋体" w:hint="eastAsia"/>
          <w:sz w:val="24"/>
        </w:rPr>
        <w:t>输协调</w:t>
      </w:r>
      <w:proofErr w:type="gramEnd"/>
      <w:r>
        <w:rPr>
          <w:rFonts w:ascii="宋体" w:hAnsi="宋体" w:hint="eastAsia"/>
          <w:sz w:val="24"/>
        </w:rPr>
        <w:t>能力、网络覆盖率等方面</w:t>
      </w:r>
      <w:proofErr w:type="gramStart"/>
      <w:r>
        <w:rPr>
          <w:rFonts w:ascii="宋体" w:hAnsi="宋体" w:hint="eastAsia"/>
          <w:sz w:val="24"/>
        </w:rPr>
        <w:t>属行业</w:t>
      </w:r>
      <w:proofErr w:type="gramEnd"/>
      <w:r>
        <w:rPr>
          <w:rFonts w:ascii="宋体" w:hAnsi="宋体" w:hint="eastAsia"/>
          <w:sz w:val="24"/>
        </w:rPr>
        <w:t xml:space="preserve">当中的佼佼者。 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343"/>
        <w:gridCol w:w="1020"/>
        <w:gridCol w:w="15"/>
        <w:gridCol w:w="1503"/>
        <w:gridCol w:w="293"/>
        <w:gridCol w:w="979"/>
        <w:gridCol w:w="1710"/>
      </w:tblGrid>
      <w:tr w:rsidR="00040CD3" w:rsidTr="000B6CCA">
        <w:trPr>
          <w:trHeight w:hRule="exact" w:val="590"/>
        </w:trPr>
        <w:tc>
          <w:tcPr>
            <w:tcW w:w="1648" w:type="dxa"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企业名称</w:t>
            </w:r>
          </w:p>
        </w:tc>
        <w:tc>
          <w:tcPr>
            <w:tcW w:w="6863" w:type="dxa"/>
            <w:gridSpan w:val="7"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（加盖公章）</w:t>
            </w: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法定代表人</w:t>
            </w:r>
          </w:p>
        </w:tc>
        <w:tc>
          <w:tcPr>
            <w:tcW w:w="2378" w:type="dxa"/>
            <w:gridSpan w:val="3"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总经理</w:t>
            </w:r>
          </w:p>
        </w:tc>
        <w:tc>
          <w:tcPr>
            <w:tcW w:w="2689" w:type="dxa"/>
            <w:gridSpan w:val="2"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szCs w:val="21"/>
              </w:rPr>
            </w:pP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地址、邮编</w:t>
            </w:r>
          </w:p>
        </w:tc>
        <w:tc>
          <w:tcPr>
            <w:tcW w:w="6863" w:type="dxa"/>
            <w:gridSpan w:val="7"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szCs w:val="21"/>
              </w:rPr>
            </w:pP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成立时间</w:t>
            </w:r>
          </w:p>
        </w:tc>
        <w:tc>
          <w:tcPr>
            <w:tcW w:w="2378" w:type="dxa"/>
            <w:gridSpan w:val="3"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040CD3" w:rsidRDefault="00040CD3" w:rsidP="000B6CCA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总部所在地</w:t>
            </w:r>
          </w:p>
        </w:tc>
        <w:tc>
          <w:tcPr>
            <w:tcW w:w="2689" w:type="dxa"/>
            <w:gridSpan w:val="2"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szCs w:val="21"/>
              </w:rPr>
            </w:pP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企业性质</w:t>
            </w:r>
          </w:p>
        </w:tc>
        <w:tc>
          <w:tcPr>
            <w:tcW w:w="6863" w:type="dxa"/>
            <w:gridSpan w:val="7"/>
            <w:vAlign w:val="center"/>
          </w:tcPr>
          <w:p w:rsidR="00040CD3" w:rsidRDefault="00040CD3" w:rsidP="000B6CC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□ 国有      □ 民营     □ 股份制    □ 合资     □ 外资</w:t>
            </w: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分公司数量</w:t>
            </w:r>
          </w:p>
        </w:tc>
        <w:tc>
          <w:tcPr>
            <w:tcW w:w="2378" w:type="dxa"/>
            <w:gridSpan w:val="3"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员工总数</w:t>
            </w:r>
          </w:p>
        </w:tc>
        <w:tc>
          <w:tcPr>
            <w:tcW w:w="2689" w:type="dxa"/>
            <w:gridSpan w:val="2"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szCs w:val="21"/>
              </w:rPr>
            </w:pP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经营类型</w:t>
            </w:r>
          </w:p>
        </w:tc>
        <w:tc>
          <w:tcPr>
            <w:tcW w:w="6863" w:type="dxa"/>
            <w:gridSpan w:val="7"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□ 综合型    □ 运输型   □ 仓储型 </w:t>
            </w:r>
          </w:p>
        </w:tc>
      </w:tr>
      <w:tr w:rsidR="00040CD3" w:rsidTr="000B6CCA">
        <w:trPr>
          <w:trHeight w:hRule="exact" w:val="1875"/>
        </w:trPr>
        <w:tc>
          <w:tcPr>
            <w:tcW w:w="1648" w:type="dxa"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经营范围</w:t>
            </w:r>
          </w:p>
        </w:tc>
        <w:tc>
          <w:tcPr>
            <w:tcW w:w="6863" w:type="dxa"/>
            <w:gridSpan w:val="7"/>
            <w:vAlign w:val="center"/>
          </w:tcPr>
          <w:p w:rsidR="00040CD3" w:rsidRDefault="00040CD3" w:rsidP="000B6CCA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□ 爆炸品    □压缩气体和液化气体     □易燃液体</w:t>
            </w:r>
          </w:p>
          <w:p w:rsidR="00040CD3" w:rsidRDefault="00040CD3" w:rsidP="000B6CCA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□ 易燃固体、自燃物品和遇湿易燃物品   □氧化剂和有机过氧化物</w:t>
            </w:r>
          </w:p>
          <w:p w:rsidR="00040CD3" w:rsidRDefault="00040CD3" w:rsidP="000B6CCA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□ 毒害品    □放射性物品             □腐蚀品</w:t>
            </w:r>
          </w:p>
          <w:p w:rsidR="00040CD3" w:rsidRDefault="00040CD3" w:rsidP="000B6CCA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□ 杂类      其他：___________________________</w:t>
            </w: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Merge w:val="restart"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覆盖区域</w:t>
            </w:r>
          </w:p>
        </w:tc>
        <w:tc>
          <w:tcPr>
            <w:tcW w:w="2378" w:type="dxa"/>
            <w:gridSpan w:val="3"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___  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spacing w:val="-4"/>
                <w:sz w:val="18"/>
                <w:szCs w:val="18"/>
              </w:rPr>
              <w:t>省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（自治区、直辖市）</w:t>
            </w:r>
          </w:p>
        </w:tc>
        <w:tc>
          <w:tcPr>
            <w:tcW w:w="1503" w:type="dxa"/>
            <w:vMerge w:val="restart"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营业额</w:t>
            </w:r>
          </w:p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（万）</w:t>
            </w:r>
          </w:p>
        </w:tc>
        <w:tc>
          <w:tcPr>
            <w:tcW w:w="1272" w:type="dxa"/>
            <w:gridSpan w:val="2"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2014年</w:t>
            </w:r>
          </w:p>
        </w:tc>
        <w:tc>
          <w:tcPr>
            <w:tcW w:w="1710" w:type="dxa"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szCs w:val="21"/>
              </w:rPr>
            </w:pP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Merge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8" w:type="dxa"/>
            <w:gridSpan w:val="3"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___  </w:t>
            </w:r>
            <w:proofErr w:type="gramStart"/>
            <w:r>
              <w:rPr>
                <w:rFonts w:ascii="宋体" w:hAnsi="宋体" w:hint="eastAsia"/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rFonts w:ascii="宋体" w:hAnsi="宋体" w:hint="eastAsia"/>
                <w:kern w:val="0"/>
                <w:sz w:val="18"/>
                <w:szCs w:val="18"/>
              </w:rPr>
              <w:t>国家及地区</w:t>
            </w:r>
          </w:p>
        </w:tc>
        <w:tc>
          <w:tcPr>
            <w:tcW w:w="1503" w:type="dxa"/>
            <w:vMerge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2015年</w:t>
            </w:r>
          </w:p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（上半</w:t>
            </w:r>
            <w:r>
              <w:rPr>
                <w:rFonts w:ascii="宋体" w:hAnsi="宋体" w:hint="eastAsia"/>
                <w:b/>
                <w:bCs/>
                <w:szCs w:val="21"/>
              </w:rPr>
              <w:t>年）</w:t>
            </w:r>
          </w:p>
        </w:tc>
        <w:tc>
          <w:tcPr>
            <w:tcW w:w="1710" w:type="dxa"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运输方式</w:t>
            </w:r>
          </w:p>
        </w:tc>
        <w:tc>
          <w:tcPr>
            <w:tcW w:w="6863" w:type="dxa"/>
            <w:gridSpan w:val="7"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□ 陆路      □ 航空     □ 船运      □ 铁路     □ 其他</w:t>
            </w:r>
          </w:p>
        </w:tc>
      </w:tr>
      <w:tr w:rsidR="00040CD3" w:rsidTr="000B6CCA">
        <w:trPr>
          <w:trHeight w:hRule="exact" w:val="650"/>
        </w:trPr>
        <w:tc>
          <w:tcPr>
            <w:tcW w:w="1648" w:type="dxa"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安全生产标准化等级</w:t>
            </w:r>
          </w:p>
        </w:tc>
        <w:tc>
          <w:tcPr>
            <w:tcW w:w="6863" w:type="dxa"/>
            <w:gridSpan w:val="7"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□ 一级      □ 二级     □ 三级</w:t>
            </w: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Merge w:val="restart"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运输设备</w:t>
            </w:r>
          </w:p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（台）</w:t>
            </w:r>
          </w:p>
        </w:tc>
        <w:tc>
          <w:tcPr>
            <w:tcW w:w="2363" w:type="dxa"/>
            <w:gridSpan w:val="2"/>
            <w:vMerge w:val="restart"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</w:t>
            </w:r>
          </w:p>
        </w:tc>
        <w:tc>
          <w:tcPr>
            <w:tcW w:w="1811" w:type="dxa"/>
            <w:gridSpan w:val="3"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自有运力（吨）</w:t>
            </w:r>
          </w:p>
        </w:tc>
        <w:tc>
          <w:tcPr>
            <w:tcW w:w="2689" w:type="dxa"/>
            <w:gridSpan w:val="2"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szCs w:val="21"/>
              </w:rPr>
            </w:pP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Merge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63" w:type="dxa"/>
            <w:gridSpan w:val="2"/>
            <w:vMerge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11" w:type="dxa"/>
            <w:gridSpan w:val="3"/>
            <w:vAlign w:val="center"/>
          </w:tcPr>
          <w:p w:rsidR="00040CD3" w:rsidRDefault="00040CD3" w:rsidP="000B6CCA">
            <w:pPr>
              <w:ind w:left="-6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全年运量（吨）</w:t>
            </w:r>
          </w:p>
        </w:tc>
        <w:tc>
          <w:tcPr>
            <w:tcW w:w="2689" w:type="dxa"/>
            <w:gridSpan w:val="2"/>
            <w:vAlign w:val="center"/>
          </w:tcPr>
          <w:p w:rsidR="00040CD3" w:rsidRDefault="00040CD3" w:rsidP="000B6CCA">
            <w:pPr>
              <w:ind w:left="-6"/>
              <w:rPr>
                <w:rFonts w:ascii="宋体" w:hAnsi="宋体" w:hint="eastAsia"/>
                <w:szCs w:val="21"/>
              </w:rPr>
            </w:pP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Merge w:val="restart"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基础设施</w:t>
            </w:r>
          </w:p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（自有）</w:t>
            </w:r>
          </w:p>
        </w:tc>
        <w:tc>
          <w:tcPr>
            <w:tcW w:w="1343" w:type="dxa"/>
            <w:vMerge w:val="restart"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化工品仓库</w:t>
            </w:r>
          </w:p>
        </w:tc>
        <w:tc>
          <w:tcPr>
            <w:tcW w:w="1020" w:type="dxa"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甲类</w:t>
            </w:r>
          </w:p>
        </w:tc>
        <w:tc>
          <w:tcPr>
            <w:tcW w:w="4500" w:type="dxa"/>
            <w:gridSpan w:val="5"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平方米</w:t>
            </w: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Merge/>
            <w:vAlign w:val="center"/>
          </w:tcPr>
          <w:p w:rsidR="00040CD3" w:rsidRDefault="00040CD3" w:rsidP="000B6CCA">
            <w:pPr>
              <w:spacing w:line="360" w:lineRule="auto"/>
              <w:jc w:val="center"/>
            </w:pPr>
          </w:p>
        </w:tc>
        <w:tc>
          <w:tcPr>
            <w:tcW w:w="1343" w:type="dxa"/>
            <w:vMerge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乙类</w:t>
            </w:r>
          </w:p>
        </w:tc>
        <w:tc>
          <w:tcPr>
            <w:tcW w:w="4500" w:type="dxa"/>
            <w:gridSpan w:val="5"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平方米</w:t>
            </w: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Merge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3" w:type="dxa"/>
            <w:vMerge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丙类</w:t>
            </w:r>
          </w:p>
        </w:tc>
        <w:tc>
          <w:tcPr>
            <w:tcW w:w="4500" w:type="dxa"/>
            <w:gridSpan w:val="5"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平方米</w:t>
            </w: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Merge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3" w:type="dxa"/>
            <w:vMerge w:val="restart"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化工品储罐</w:t>
            </w:r>
          </w:p>
        </w:tc>
        <w:tc>
          <w:tcPr>
            <w:tcW w:w="1020" w:type="dxa"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4500" w:type="dxa"/>
            <w:gridSpan w:val="5"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Merge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3" w:type="dxa"/>
            <w:vMerge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总容量</w:t>
            </w:r>
          </w:p>
        </w:tc>
        <w:tc>
          <w:tcPr>
            <w:tcW w:w="4500" w:type="dxa"/>
            <w:gridSpan w:val="5"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事故情况</w:t>
            </w:r>
          </w:p>
        </w:tc>
        <w:tc>
          <w:tcPr>
            <w:tcW w:w="6863" w:type="dxa"/>
            <w:gridSpan w:val="7"/>
            <w:vAlign w:val="center"/>
          </w:tcPr>
          <w:p w:rsidR="00040CD3" w:rsidRDefault="00040CD3" w:rsidP="000B6CCA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□ 重大事故        □ 一般事故         □ 无事故</w:t>
            </w: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Merge w:val="restart"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社会责任</w:t>
            </w:r>
          </w:p>
        </w:tc>
        <w:tc>
          <w:tcPr>
            <w:tcW w:w="1343" w:type="dxa"/>
            <w:vAlign w:val="center"/>
          </w:tcPr>
          <w:p w:rsidR="00040CD3" w:rsidRDefault="00040CD3" w:rsidP="000B6CCA">
            <w:pPr>
              <w:pStyle w:val="a5"/>
              <w:widowControl/>
              <w:spacing w:before="150" w:after="376" w:line="375" w:lineRule="atLeast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Tahoma" w:eastAsia="Tahoma" w:hAnsi="Tahoma" w:cs="Tahoma" w:hint="eastAsia"/>
                <w:b/>
                <w:bCs/>
                <w:color w:val="000000"/>
                <w:sz w:val="21"/>
                <w:szCs w:val="21"/>
              </w:rPr>
              <w:t>环保</w:t>
            </w:r>
            <w:r>
              <w:rPr>
                <w:rFonts w:ascii="Tahoma" w:hAnsi="Tahoma" w:cs="Tahoma" w:hint="eastAsia"/>
                <w:b/>
                <w:bCs/>
                <w:color w:val="000000"/>
                <w:sz w:val="21"/>
                <w:szCs w:val="21"/>
              </w:rPr>
              <w:t>方面</w:t>
            </w:r>
          </w:p>
        </w:tc>
        <w:tc>
          <w:tcPr>
            <w:tcW w:w="5520" w:type="dxa"/>
            <w:gridSpan w:val="6"/>
            <w:vAlign w:val="center"/>
          </w:tcPr>
          <w:p w:rsidR="00040CD3" w:rsidRDefault="00040CD3" w:rsidP="000B6CCA">
            <w:pPr>
              <w:pStyle w:val="a5"/>
              <w:widowControl/>
              <w:spacing w:before="150" w:after="376" w:line="375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Tahoma" w:eastAsia="Tahoma" w:hAnsi="Tahoma" w:cs="Tahoma" w:hint="eastAsia"/>
                <w:color w:val="000000"/>
                <w:sz w:val="21"/>
                <w:szCs w:val="21"/>
              </w:rPr>
              <w:t>低碳经济</w:t>
            </w:r>
            <w:r>
              <w:rPr>
                <w:rFonts w:ascii="Tahoma" w:hAnsi="Tahoma" w:cs="Tahoma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Tahoma" w:eastAsia="Tahoma" w:hAnsi="Tahoma" w:cs="Tahoma" w:hint="eastAsia"/>
                <w:color w:val="000000"/>
                <w:sz w:val="21"/>
                <w:szCs w:val="21"/>
              </w:rPr>
              <w:t>节能减排</w:t>
            </w:r>
            <w:r>
              <w:rPr>
                <w:rFonts w:ascii="Tahoma" w:hAnsi="Tahoma" w:cs="Tahoma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Tahoma" w:eastAsia="Tahoma" w:hAnsi="Tahoma" w:cs="Tahoma" w:hint="eastAsia"/>
                <w:color w:val="000000"/>
                <w:sz w:val="21"/>
                <w:szCs w:val="21"/>
              </w:rPr>
              <w:t>环境保护</w:t>
            </w: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Merge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040CD3" w:rsidRDefault="00040CD3" w:rsidP="000B6CCA">
            <w:pPr>
              <w:pStyle w:val="a5"/>
              <w:widowControl/>
              <w:spacing w:before="150" w:after="376" w:line="375" w:lineRule="atLeast"/>
              <w:rPr>
                <w:rFonts w:ascii="Tahoma" w:eastAsia="Tahoma" w:hAnsi="Tahoma" w:cs="Tahoma" w:hint="eastAsi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 w:hint="eastAsia"/>
                <w:b/>
                <w:bCs/>
                <w:color w:val="000000"/>
                <w:sz w:val="21"/>
                <w:szCs w:val="21"/>
              </w:rPr>
              <w:t xml:space="preserve">  公益方面</w:t>
            </w:r>
          </w:p>
        </w:tc>
        <w:tc>
          <w:tcPr>
            <w:tcW w:w="5520" w:type="dxa"/>
            <w:gridSpan w:val="6"/>
            <w:vAlign w:val="center"/>
          </w:tcPr>
          <w:p w:rsidR="00040CD3" w:rsidRDefault="00040CD3" w:rsidP="000B6CCA">
            <w:pPr>
              <w:pStyle w:val="a5"/>
              <w:widowControl/>
              <w:spacing w:before="150" w:after="376" w:line="375" w:lineRule="atLeast"/>
              <w:rPr>
                <w:rFonts w:ascii="Tahoma" w:eastAsia="Tahoma" w:hAnsi="Tahoma" w:cs="Tahoma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Tahoma" w:eastAsia="Tahoma" w:hAnsi="Tahoma" w:cs="Tahoma" w:hint="eastAsia"/>
                <w:color w:val="000000"/>
                <w:sz w:val="21"/>
                <w:szCs w:val="21"/>
              </w:rPr>
              <w:t>参与公益项目</w:t>
            </w:r>
            <w:r>
              <w:rPr>
                <w:rFonts w:ascii="Tahoma" w:hAnsi="Tahoma" w:cs="Tahoma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Tahoma" w:eastAsia="Tahoma" w:hAnsi="Tahoma" w:cs="Tahoma" w:hint="eastAsia"/>
                <w:color w:val="000000"/>
                <w:sz w:val="21"/>
                <w:szCs w:val="21"/>
              </w:rPr>
              <w:t>扶危济困</w:t>
            </w:r>
            <w:r>
              <w:rPr>
                <w:rFonts w:ascii="Tahoma" w:hAnsi="Tahoma" w:cs="Tahoma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Tahoma" w:eastAsia="Tahoma" w:hAnsi="Tahoma" w:cs="Tahoma" w:hint="eastAsia"/>
                <w:color w:val="000000"/>
                <w:sz w:val="21"/>
                <w:szCs w:val="21"/>
              </w:rPr>
              <w:t>慈善</w:t>
            </w:r>
            <w:r>
              <w:rPr>
                <w:rFonts w:ascii="Tahoma" w:hAnsi="Tahoma" w:cs="Tahoma" w:hint="eastAsia"/>
                <w:color w:val="000000"/>
                <w:sz w:val="21"/>
                <w:szCs w:val="21"/>
              </w:rPr>
              <w:t>捐助</w:t>
            </w:r>
          </w:p>
        </w:tc>
      </w:tr>
      <w:tr w:rsidR="00040CD3" w:rsidTr="000B6CCA">
        <w:trPr>
          <w:trHeight w:hRule="exact" w:val="590"/>
        </w:trPr>
        <w:tc>
          <w:tcPr>
            <w:tcW w:w="1648" w:type="dxa"/>
            <w:vMerge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劳动雇佣</w:t>
            </w:r>
          </w:p>
        </w:tc>
        <w:tc>
          <w:tcPr>
            <w:tcW w:w="5520" w:type="dxa"/>
            <w:gridSpan w:val="6"/>
            <w:vAlign w:val="center"/>
          </w:tcPr>
          <w:p w:rsidR="00040CD3" w:rsidRDefault="00040CD3" w:rsidP="000B6CCA">
            <w:pPr>
              <w:pStyle w:val="a5"/>
              <w:widowControl/>
              <w:spacing w:before="150" w:after="376" w:line="375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Tahoma" w:eastAsia="Tahoma" w:hAnsi="Tahoma" w:cs="Tahoma" w:hint="eastAsia"/>
                <w:color w:val="000000"/>
                <w:sz w:val="21"/>
                <w:szCs w:val="21"/>
              </w:rPr>
              <w:t>积极为员工提供发展空间</w:t>
            </w:r>
            <w:r>
              <w:rPr>
                <w:rFonts w:ascii="Tahoma" w:hAnsi="Tahoma" w:cs="Tahoma" w:hint="eastAsia"/>
                <w:color w:val="00000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Tahoma" w:hAnsi="Tahoma" w:cs="Tahoma" w:hint="eastAsia"/>
                <w:color w:val="000000"/>
                <w:sz w:val="21"/>
                <w:szCs w:val="21"/>
              </w:rPr>
              <w:t>无劳动争议</w:t>
            </w:r>
          </w:p>
        </w:tc>
      </w:tr>
      <w:tr w:rsidR="00040CD3" w:rsidTr="000B6CCA">
        <w:trPr>
          <w:trHeight w:val="1797"/>
        </w:trPr>
        <w:tc>
          <w:tcPr>
            <w:tcW w:w="1648" w:type="dxa"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曾获奖励、荣誉（近2年）</w:t>
            </w:r>
          </w:p>
        </w:tc>
        <w:tc>
          <w:tcPr>
            <w:tcW w:w="6863" w:type="dxa"/>
            <w:gridSpan w:val="7"/>
            <w:vAlign w:val="center"/>
          </w:tcPr>
          <w:p w:rsidR="00040CD3" w:rsidRDefault="00040CD3" w:rsidP="000B6CCA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  <w:tr w:rsidR="00040CD3" w:rsidTr="000B6CCA">
        <w:trPr>
          <w:trHeight w:val="1903"/>
        </w:trPr>
        <w:tc>
          <w:tcPr>
            <w:tcW w:w="1648" w:type="dxa"/>
            <w:vAlign w:val="center"/>
          </w:tcPr>
          <w:p w:rsidR="00040CD3" w:rsidRDefault="00040CD3" w:rsidP="000B6CC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/>
                <w:szCs w:val="21"/>
              </w:rPr>
              <w:t>获奖理由</w:t>
            </w:r>
          </w:p>
        </w:tc>
        <w:tc>
          <w:tcPr>
            <w:tcW w:w="6863" w:type="dxa"/>
            <w:gridSpan w:val="7"/>
            <w:vAlign w:val="center"/>
          </w:tcPr>
          <w:p w:rsidR="00040CD3" w:rsidRDefault="00040CD3" w:rsidP="000B6CCA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</w:tbl>
    <w:p w:rsidR="00040CD3" w:rsidRDefault="00040CD3" w:rsidP="00040CD3">
      <w:pPr>
        <w:rPr>
          <w:rFonts w:ascii="楷体_GB2312" w:eastAsia="楷体_GB2312" w:hAnsi="宋体" w:hint="eastAsia"/>
          <w:szCs w:val="21"/>
        </w:rPr>
      </w:pPr>
      <w:r>
        <w:rPr>
          <w:rFonts w:ascii="楷体_GB2312" w:eastAsia="楷体_GB2312" w:hAnsi="宋体" w:hint="eastAsia"/>
          <w:szCs w:val="21"/>
        </w:rPr>
        <w:t>（注：请详细填写表格并提供相关材，2015年10月30日前快递或传真至分会秘书处）</w:t>
      </w:r>
    </w:p>
    <w:p w:rsidR="00040CD3" w:rsidRDefault="00040CD3" w:rsidP="00040CD3">
      <w:pPr>
        <w:spacing w:beforeLines="50" w:before="156" w:line="360" w:lineRule="auto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中国物流与采购联合会危化品物流分会</w:t>
      </w:r>
    </w:p>
    <w:p w:rsidR="00040CD3" w:rsidRDefault="00040CD3" w:rsidP="00040CD3">
      <w:pPr>
        <w:spacing w:line="360" w:lineRule="auto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联系人： </w:t>
      </w:r>
    </w:p>
    <w:p w:rsidR="00040CD3" w:rsidRDefault="00040CD3" w:rsidP="00040CD3">
      <w:pPr>
        <w:spacing w:line="360" w:lineRule="auto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电话：010-68391334        传真：010-68391335      邮箱： </w:t>
      </w:r>
    </w:p>
    <w:p w:rsidR="004B7898" w:rsidRPr="00040CD3" w:rsidRDefault="00040CD3" w:rsidP="00040CD3">
      <w:pPr>
        <w:spacing w:line="360" w:lineRule="auto"/>
      </w:pPr>
      <w:r>
        <w:rPr>
          <w:rFonts w:ascii="仿宋_GB2312" w:eastAsia="仿宋_GB2312" w:hAnsi="宋体" w:hint="eastAsia"/>
          <w:sz w:val="24"/>
        </w:rPr>
        <w:t>地址：北京市西城区月坛北街25号院1号楼1327室    邮编：100037</w:t>
      </w:r>
      <w:bookmarkStart w:id="0" w:name="_GoBack"/>
      <w:bookmarkEnd w:id="0"/>
    </w:p>
    <w:sectPr w:rsidR="004B7898" w:rsidRPr="00040C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E6" w:rsidRDefault="00D275E6" w:rsidP="00700217">
      <w:r>
        <w:separator/>
      </w:r>
    </w:p>
  </w:endnote>
  <w:endnote w:type="continuationSeparator" w:id="0">
    <w:p w:rsidR="00D275E6" w:rsidRDefault="00D275E6" w:rsidP="0070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E6" w:rsidRDefault="00D275E6" w:rsidP="00700217">
      <w:r>
        <w:separator/>
      </w:r>
    </w:p>
  </w:footnote>
  <w:footnote w:type="continuationSeparator" w:id="0">
    <w:p w:rsidR="00D275E6" w:rsidRDefault="00D275E6" w:rsidP="00700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0A34"/>
    <w:multiLevelType w:val="singleLevel"/>
    <w:tmpl w:val="55C30A3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37"/>
    <w:rsid w:val="00040CD3"/>
    <w:rsid w:val="00230637"/>
    <w:rsid w:val="00420A6D"/>
    <w:rsid w:val="00700217"/>
    <w:rsid w:val="007C7F23"/>
    <w:rsid w:val="00BF3747"/>
    <w:rsid w:val="00D2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2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0217"/>
    <w:pPr>
      <w:spacing w:line="263" w:lineRule="atLeast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2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2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700217"/>
    <w:pPr>
      <w:spacing w:line="263" w:lineRule="atLeast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2015-08-11T08:11:00Z</dcterms:created>
  <dcterms:modified xsi:type="dcterms:W3CDTF">2015-08-14T08:15:00Z</dcterms:modified>
</cp:coreProperties>
</file>