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2F8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76CF64">
            <w:pPr>
              <w:pStyle w:val="20"/>
              <w:framePr w:wrap="notBeside" w:vAnchor="page" w:hAnchor="page" w:x="1372" w:y="568"/>
              <w:tabs>
                <w:tab w:val="clear" w:pos="4153"/>
                <w:tab w:val="clear" w:pos="8306"/>
              </w:tabs>
              <w:spacing w:line="240" w:lineRule="auto"/>
              <w:jc w:val="left"/>
              <w:rPr>
                <w:rFonts w:ascii="黑体" w:hAnsi="黑体" w:eastAsia="黑体"/>
                <w:sz w:val="21"/>
                <w:szCs w:val="21"/>
                <w:highlight w:val="none"/>
              </w:rPr>
            </w:pPr>
            <w:r>
              <w:rPr>
                <w:rFonts w:ascii="Times New Roman" w:hAnsi="Times New Roman" w:eastAsia="黑体"/>
                <w:sz w:val="21"/>
                <w:szCs w:val="21"/>
                <w:highlight w:val="none"/>
              </w:rPr>
              <w:t>ICS</w:t>
            </w:r>
          </w:p>
        </w:tc>
        <w:tc>
          <w:tcPr>
            <w:tcW w:w="8855" w:type="dxa"/>
          </w:tcPr>
          <w:p w14:paraId="05E55844">
            <w:pPr>
              <w:pStyle w:val="20"/>
              <w:framePr w:wrap="notBeside" w:vAnchor="page" w:hAnchor="page" w:x="1372" w:y="568"/>
              <w:tabs>
                <w:tab w:val="clear" w:pos="4153"/>
                <w:tab w:val="clear" w:pos="8306"/>
              </w:tabs>
              <w:spacing w:line="240" w:lineRule="auto"/>
              <w:jc w:val="both"/>
              <w:rPr>
                <w:rFonts w:ascii="黑体" w:hAnsi="黑体" w:eastAsia="黑体"/>
                <w:sz w:val="21"/>
                <w:szCs w:val="21"/>
                <w:highlight w:val="none"/>
              </w:rPr>
            </w:pPr>
            <w:r>
              <w:rPr>
                <w:rFonts w:ascii="黑体" w:hAnsi="黑体" w:eastAsia="黑体"/>
                <w:sz w:val="21"/>
                <w:szCs w:val="21"/>
                <w:highlight w:val="none"/>
              </w:rPr>
              <w:fldChar w:fldCharType="begin">
                <w:ffData>
                  <w:name w:val="ICS"/>
                  <w:enabled/>
                  <w:calcOnExit w:val="0"/>
                  <w:textInput>
                    <w:default w:val="点击此处添加ICS号"/>
                  </w:textInput>
                </w:ffData>
              </w:fldChar>
            </w:r>
            <w:bookmarkStart w:id="0" w:name="ICS"/>
            <w:r>
              <w:rPr>
                <w:rFonts w:ascii="黑体" w:hAnsi="黑体" w:eastAsia="黑体"/>
                <w:sz w:val="21"/>
                <w:szCs w:val="21"/>
                <w:highlight w:val="none"/>
              </w:rPr>
              <w:instrText xml:space="preserve"> FORMTEXT </w:instrText>
            </w:r>
            <w:r>
              <w:rPr>
                <w:rFonts w:ascii="黑体" w:hAnsi="黑体" w:eastAsia="黑体"/>
                <w:sz w:val="21"/>
                <w:szCs w:val="21"/>
                <w:highlight w:val="none"/>
              </w:rPr>
              <w:fldChar w:fldCharType="separate"/>
            </w:r>
            <w:r>
              <w:rPr>
                <w:rFonts w:hint="eastAsia" w:ascii="黑体" w:hAnsi="黑体" w:eastAsia="黑体"/>
                <w:sz w:val="21"/>
                <w:szCs w:val="21"/>
                <w:highlight w:val="none"/>
              </w:rPr>
              <w:t>03.080.01</w:t>
            </w:r>
            <w:r>
              <w:rPr>
                <w:rFonts w:ascii="黑体" w:hAnsi="黑体" w:eastAsia="黑体"/>
                <w:sz w:val="21"/>
                <w:szCs w:val="21"/>
                <w:highlight w:val="none"/>
              </w:rPr>
              <w:fldChar w:fldCharType="end"/>
            </w:r>
            <w:bookmarkEnd w:id="0"/>
          </w:p>
        </w:tc>
      </w:tr>
      <w:tr w14:paraId="3F7C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D43DCD">
            <w:pPr>
              <w:pStyle w:val="20"/>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Times New Roman" w:hAnsi="Times New Roman" w:eastAsia="黑体"/>
                <w:sz w:val="21"/>
                <w:szCs w:val="21"/>
                <w:highlight w:val="none"/>
              </w:rPr>
              <w:t>CCS</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39EA0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A51740E">
                  <w:pPr>
                    <w:pStyle w:val="54"/>
                    <w:framePr w:wrap="notBeside" w:vAnchor="page" w:hAnchor="page" w:x="1372" w:y="568"/>
                    <w:ind w:left="420" w:right="624"/>
                    <w:rPr>
                      <w:rFonts w:ascii="宋体" w:hAnsi="宋体"/>
                      <w:sz w:val="28"/>
                      <w:szCs w:val="28"/>
                      <w:highlight w:val="none"/>
                    </w:rPr>
                  </w:pPr>
                </w:p>
              </w:tc>
            </w:tr>
          </w:tbl>
          <w:p w14:paraId="026B9D33">
            <w:pPr>
              <w:pStyle w:val="20"/>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黑体" w:hAnsi="黑体" w:eastAsia="黑体"/>
                <w:sz w:val="21"/>
                <w:szCs w:val="21"/>
                <w:highlight w:val="none"/>
              </w:rPr>
              <w:fldChar w:fldCharType="begin">
                <w:ffData>
                  <w:name w:val="CSDN"/>
                  <w:enabled/>
                  <w:calcOnExit w:val="0"/>
                  <w:textInput>
                    <w:default w:val="点击此处添加CCS号"/>
                  </w:textInput>
                </w:ffData>
              </w:fldChar>
            </w:r>
            <w:bookmarkStart w:id="1" w:name="CSDN"/>
            <w:r>
              <w:rPr>
                <w:rFonts w:ascii="黑体" w:hAnsi="黑体" w:eastAsia="黑体"/>
                <w:sz w:val="21"/>
                <w:szCs w:val="21"/>
                <w:highlight w:val="none"/>
              </w:rPr>
              <w:instrText xml:space="preserve"> FORMTEXT </w:instrText>
            </w:r>
            <w:r>
              <w:rPr>
                <w:rFonts w:ascii="黑体" w:hAnsi="黑体" w:eastAsia="黑体"/>
                <w:sz w:val="21"/>
                <w:szCs w:val="21"/>
                <w:highlight w:val="none"/>
              </w:rPr>
              <w:fldChar w:fldCharType="separate"/>
            </w:r>
            <w:r>
              <w:rPr>
                <w:rFonts w:hint="eastAsia" w:ascii="黑体" w:hAnsi="黑体" w:eastAsia="黑体"/>
                <w:sz w:val="21"/>
                <w:szCs w:val="21"/>
                <w:highlight w:val="none"/>
              </w:rPr>
              <w:t>A 87</w:t>
            </w:r>
            <w:r>
              <w:rPr>
                <w:rFonts w:ascii="黑体" w:hAnsi="黑体" w:eastAsia="黑体"/>
                <w:sz w:val="21"/>
                <w:szCs w:val="21"/>
                <w:highlight w:val="none"/>
              </w:rPr>
              <w:fldChar w:fldCharType="end"/>
            </w:r>
            <w:bookmarkEnd w:id="1"/>
          </w:p>
        </w:tc>
      </w:tr>
    </w:tbl>
    <w:p w14:paraId="518AD878">
      <w:pPr>
        <w:pStyle w:val="55"/>
        <w:framePr w:w="9639" w:h="624" w:hRule="exact" w:hSpace="181" w:vSpace="181" w:wrap="around" w:hAnchor="page" w:x="1305" w:y="2269"/>
        <w:rPr>
          <w:rFonts w:ascii="黑体" w:hAnsi="黑体" w:eastAsia="黑体"/>
          <w:b w:val="0"/>
          <w:bCs w:val="0"/>
          <w:w w:val="100"/>
          <w:sz w:val="48"/>
          <w:szCs w:val="48"/>
          <w:highlight w:val="none"/>
        </w:rPr>
      </w:pPr>
      <w:bookmarkStart w:id="2" w:name="_Hlk26473981"/>
      <w:r>
        <w:rPr>
          <w:rFonts w:hint="eastAsia" w:ascii="黑体" w:eastAsia="黑体"/>
          <w:b w:val="0"/>
          <w:w w:val="100"/>
          <w:sz w:val="48"/>
          <w:highlight w:val="none"/>
        </w:rPr>
        <w:t>团体</w:t>
      </w:r>
      <w:r>
        <w:rPr>
          <w:rFonts w:hint="eastAsia" w:ascii="黑体" w:hAnsi="黑体" w:eastAsia="黑体"/>
          <w:b w:val="0"/>
          <w:bCs w:val="0"/>
          <w:w w:val="100"/>
          <w:sz w:val="48"/>
          <w:szCs w:val="48"/>
          <w:highlight w:val="none"/>
        </w:rPr>
        <w:t>标准</w:t>
      </w:r>
    </w:p>
    <w:bookmarkEnd w:id="2"/>
    <w:p w14:paraId="62B6136E">
      <w:pPr>
        <w:pStyle w:val="200"/>
        <w:rPr>
          <w:highlight w:val="none"/>
        </w:rPr>
      </w:pPr>
      <w:r>
        <w:rPr>
          <w:highlight w:val="none"/>
        </w:rPr>
        <w:t>T/</w:t>
      </w:r>
      <w:r>
        <w:rPr>
          <w:rFonts w:hint="eastAsia"/>
          <w:highlight w:val="none"/>
        </w:rPr>
        <w:t>CFLP</w:t>
      </w:r>
      <w:r>
        <w:rPr>
          <w:highlight w:val="none"/>
        </w:rPr>
        <w:fldChar w:fldCharType="begin">
          <w:ffData>
            <w:name w:val="NSTD_CODE_F"/>
            <w:enabled/>
            <w:calcOnExit w:val="0"/>
            <w:textInput>
              <w:default w:val="XXXX"/>
            </w:textInput>
          </w:ffData>
        </w:fldChar>
      </w:r>
      <w:bookmarkStart w:id="3" w:name="NSTD_CODE_F"/>
      <w:r>
        <w:rPr>
          <w:highlight w:val="none"/>
        </w:rPr>
        <w:instrText xml:space="preserve"> FORMTEXT </w:instrText>
      </w:r>
      <w:r>
        <w:rPr>
          <w:highlight w:val="none"/>
        </w:rPr>
        <w:fldChar w:fldCharType="separate"/>
      </w:r>
      <w:r>
        <w:rPr>
          <w:highlight w:val="none"/>
        </w:rPr>
        <w:t>XXXX</w:t>
      </w:r>
      <w:r>
        <w:rPr>
          <w:highlight w:val="none"/>
        </w:rPr>
        <w:fldChar w:fldCharType="end"/>
      </w:r>
      <w:bookmarkEnd w:id="3"/>
      <w:r>
        <w:rPr>
          <w:rFonts w:hAnsi="黑体"/>
          <w:highlight w:val="none"/>
        </w:rPr>
        <w:t>—</w:t>
      </w:r>
      <w:r>
        <w:rPr>
          <w:highlight w:val="none"/>
        </w:rPr>
        <w:fldChar w:fldCharType="begin">
          <w:ffData>
            <w:name w:val="NSTD_CODE_B"/>
            <w:enabled/>
            <w:calcOnExit w:val="0"/>
            <w:textInput>
              <w:default w:val="XXXX"/>
            </w:textInput>
          </w:ffData>
        </w:fldChar>
      </w:r>
      <w:bookmarkStart w:id="4" w:name="NSTD_CODE_B"/>
      <w:r>
        <w:rPr>
          <w:highlight w:val="none"/>
        </w:rPr>
        <w:instrText xml:space="preserve"> FORMTEXT </w:instrText>
      </w:r>
      <w:r>
        <w:rPr>
          <w:highlight w:val="none"/>
        </w:rPr>
        <w:fldChar w:fldCharType="separate"/>
      </w:r>
      <w:r>
        <w:rPr>
          <w:highlight w:val="none"/>
        </w:rPr>
        <w:t>XXXX</w:t>
      </w:r>
      <w:r>
        <w:rPr>
          <w:highlight w:val="none"/>
        </w:rPr>
        <w:fldChar w:fldCharType="end"/>
      </w:r>
      <w:bookmarkEnd w:id="4"/>
    </w:p>
    <w:p w14:paraId="7DA22F0D">
      <w:pPr>
        <w:pStyle w:val="201"/>
        <w:rPr>
          <w:rFonts w:hAnsi="黑体"/>
          <w:highlight w:val="none"/>
        </w:rPr>
      </w:pPr>
      <w:r>
        <w:rPr>
          <w:rFonts w:hAnsi="黑体"/>
          <w:highlight w:val="none"/>
        </w:rPr>
        <w:fldChar w:fldCharType="begin">
          <w:ffData>
            <w:name w:val="OSTD_CODE"/>
            <w:enabled/>
            <w:calcOnExit w:val="0"/>
            <w:textInput/>
          </w:ffData>
        </w:fldChar>
      </w:r>
      <w:bookmarkStart w:id="5"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5"/>
    </w:p>
    <w:p w14:paraId="42F1318F">
      <w:pPr>
        <w:spacing w:line="240" w:lineRule="auto"/>
        <w:rPr>
          <w:rFonts w:ascii="黑体" w:hAnsi="黑体" w:eastAsia="黑体"/>
          <w:kern w:val="0"/>
          <w:sz w:val="10"/>
          <w:szCs w:val="10"/>
          <w:highlight w:val="none"/>
        </w:rPr>
      </w:pPr>
      <w:r>
        <w:rPr>
          <w:rFonts w:ascii="黑体" w:hAnsi="黑体" w:eastAsia="黑体"/>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1"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GYQhibpAQAAuQMAAA4AAAAAAAAAAQAgAAAAJwEAAGRycy9lMm9Eb2MueG1sUEsFBgAAAAAGAAYA&#10;WQEAAIIFAAAAAA==&#10;">
                <v:fill on="f" focussize="0,0"/>
                <v:stroke color="#000000" joinstyle="round"/>
                <v:imagedata o:title=""/>
                <o:lock v:ext="edit" aspectratio="f"/>
              </v:line>
            </w:pict>
          </mc:Fallback>
        </mc:AlternateContent>
      </w:r>
    </w:p>
    <w:p w14:paraId="7A61CE33">
      <w:pPr>
        <w:pStyle w:val="55"/>
        <w:framePr w:w="9639" w:h="6976" w:hRule="exact" w:hSpace="0" w:vSpace="0" w:wrap="around" w:hAnchor="page" w:y="6408"/>
        <w:jc w:val="center"/>
        <w:rPr>
          <w:rFonts w:ascii="黑体" w:hAnsi="黑体" w:eastAsia="黑体"/>
          <w:b w:val="0"/>
          <w:bCs w:val="0"/>
          <w:w w:val="100"/>
          <w:highlight w:val="none"/>
        </w:rPr>
      </w:pPr>
    </w:p>
    <w:p w14:paraId="3A233764">
      <w:pPr>
        <w:pStyle w:val="202"/>
        <w:framePr w:h="6974" w:hRule="exact" w:wrap="around" w:x="1419" w:anchorLock="1"/>
        <w:rPr>
          <w:highlight w:val="none"/>
        </w:rPr>
      </w:pPr>
      <w:bookmarkStart w:id="6" w:name="CSTD_NAME"/>
      <w:r>
        <w:rPr>
          <w:highlight w:val="none"/>
        </w:rPr>
        <w:fldChar w:fldCharType="begin">
          <w:ffData>
            <w:name w:val="CSTD_NAME"/>
            <w:enabled/>
            <w:calcOnExit w:val="0"/>
            <w:textInput>
              <w:default w:val="液体化工品数字化仓库基本要求"/>
            </w:textInput>
          </w:ffData>
        </w:fldChar>
      </w:r>
      <w:r>
        <w:rPr>
          <w:highlight w:val="none"/>
        </w:rPr>
        <w:instrText xml:space="preserve"> FORMTEXT </w:instrText>
      </w:r>
      <w:r>
        <w:rPr>
          <w:highlight w:val="none"/>
        </w:rPr>
        <w:fldChar w:fldCharType="separate"/>
      </w:r>
      <w:r>
        <w:rPr>
          <w:highlight w:val="none"/>
        </w:rPr>
        <w:t>液体化工品数字化仓库基本要求</w:t>
      </w:r>
      <w:r>
        <w:rPr>
          <w:highlight w:val="none"/>
        </w:rPr>
        <w:fldChar w:fldCharType="end"/>
      </w:r>
      <w:bookmarkEnd w:id="6"/>
    </w:p>
    <w:p w14:paraId="6DA45780">
      <w:pPr>
        <w:framePr w:w="9639" w:h="6974" w:hRule="exact" w:wrap="around" w:vAnchor="page" w:hAnchor="page" w:x="1419" w:y="6408" w:anchorLock="1"/>
        <w:ind w:left="-1418"/>
        <w:rPr>
          <w:highlight w:val="none"/>
        </w:rPr>
      </w:pPr>
    </w:p>
    <w:p w14:paraId="2EE2F275">
      <w:pPr>
        <w:pStyle w:val="130"/>
        <w:framePr w:w="9639" w:h="6974" w:hRule="exact" w:wrap="around" w:vAnchor="page" w:hAnchor="page" w:x="1419" w:y="6408" w:anchorLock="1"/>
        <w:textAlignment w:val="bottom"/>
        <w:rPr>
          <w:rFonts w:eastAsia="黑体"/>
          <w:szCs w:val="28"/>
          <w:highlight w:val="none"/>
        </w:rPr>
      </w:pPr>
      <w:r>
        <w:rPr>
          <w:rFonts w:eastAsia="黑体"/>
          <w:szCs w:val="28"/>
          <w:highlight w:val="none"/>
        </w:rPr>
        <w:t xml:space="preserve"> </w:t>
      </w:r>
      <w:r>
        <w:rPr>
          <w:rFonts w:hint="eastAsia" w:eastAsia="黑体"/>
          <w:szCs w:val="28"/>
          <w:highlight w:val="none"/>
        </w:rPr>
        <w:t>Basic requirements for digital warehouse of liquid chemical products</w:t>
      </w:r>
    </w:p>
    <w:p w14:paraId="3BCA5D36">
      <w:pPr>
        <w:framePr w:w="9639" w:h="6974" w:hRule="exact" w:wrap="around" w:vAnchor="page" w:hAnchor="page" w:x="1419" w:y="6408" w:anchorLock="1"/>
        <w:spacing w:line="760" w:lineRule="exact"/>
        <w:ind w:left="-1418"/>
        <w:rPr>
          <w:rFonts w:ascii="Times New Roman" w:hAnsi="Times New Roman" w:eastAsia="黑体"/>
          <w:kern w:val="0"/>
          <w:sz w:val="28"/>
          <w:szCs w:val="28"/>
          <w:highlight w:val="none"/>
        </w:rPr>
      </w:pPr>
    </w:p>
    <w:p w14:paraId="7241EA53">
      <w:pPr>
        <w:pStyle w:val="130"/>
        <w:framePr w:w="9639" w:h="6974" w:hRule="exact" w:wrap="around" w:vAnchor="page" w:hAnchor="page" w:x="1419" w:y="6408" w:anchorLock="1"/>
        <w:textAlignment w:val="bottom"/>
        <w:rPr>
          <w:rFonts w:eastAsia="黑体"/>
          <w:szCs w:val="28"/>
          <w:highlight w:val="none"/>
        </w:rPr>
      </w:pPr>
    </w:p>
    <w:p w14:paraId="4808950C">
      <w:pPr>
        <w:pStyle w:val="130"/>
        <w:framePr w:w="9639" w:h="6974" w:hRule="exact" w:wrap="around" w:vAnchor="page" w:hAnchor="page" w:x="1419" w:y="6408" w:anchorLock="1"/>
        <w:spacing w:before="440" w:after="160"/>
        <w:textAlignment w:val="bottom"/>
        <w:rPr>
          <w:sz w:val="24"/>
          <w:szCs w:val="28"/>
          <w:highlight w:val="none"/>
        </w:rPr>
      </w:pPr>
      <w:bookmarkStart w:id="7" w:name="下拉1"/>
      <w:r>
        <w:rPr>
          <w:sz w:val="24"/>
          <w:szCs w:val="28"/>
          <w:highlight w:val="none"/>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highlight w:val="none"/>
        </w:rPr>
        <w:instrText xml:space="preserve"> FORMDROPDOWN </w:instrText>
      </w:r>
      <w:r>
        <w:rPr>
          <w:sz w:val="24"/>
          <w:szCs w:val="28"/>
          <w:highlight w:val="none"/>
        </w:rPr>
        <w:fldChar w:fldCharType="separate"/>
      </w:r>
      <w:r>
        <w:rPr>
          <w:sz w:val="24"/>
          <w:szCs w:val="28"/>
          <w:highlight w:val="none"/>
        </w:rPr>
        <w:fldChar w:fldCharType="end"/>
      </w:r>
      <w:bookmarkEnd w:id="7"/>
    </w:p>
    <w:p w14:paraId="541CF7DF">
      <w:pPr>
        <w:pStyle w:val="130"/>
        <w:framePr w:w="9639" w:h="6974" w:hRule="exact" w:wrap="around" w:vAnchor="page" w:hAnchor="page" w:x="1419" w:y="6408" w:anchorLock="1"/>
        <w:spacing w:before="180" w:line="240" w:lineRule="atLeast"/>
        <w:textAlignment w:val="bottom"/>
        <w:rPr>
          <w:sz w:val="21"/>
          <w:szCs w:val="28"/>
          <w:highlight w:val="none"/>
        </w:rPr>
      </w:pPr>
      <w:bookmarkStart w:id="8" w:name="CMPLSH_DATE"/>
      <w:r>
        <w:rPr>
          <w:sz w:val="21"/>
          <w:szCs w:val="28"/>
          <w:highlight w:val="none"/>
        </w:rPr>
        <w:fldChar w:fldCharType="begin">
          <w:ffData>
            <w:name w:val="CMPLSH_DATE"/>
            <w:enabled/>
            <w:calcOnExit w:val="0"/>
            <w:textInput>
              <w:default w:val="2024.8.20"/>
            </w:textInput>
          </w:ffData>
        </w:fldChar>
      </w:r>
      <w:r>
        <w:rPr>
          <w:sz w:val="21"/>
          <w:szCs w:val="28"/>
          <w:highlight w:val="none"/>
        </w:rPr>
        <w:instrText xml:space="preserve"> FORMTEXT </w:instrText>
      </w:r>
      <w:r>
        <w:rPr>
          <w:sz w:val="21"/>
          <w:szCs w:val="28"/>
          <w:highlight w:val="none"/>
        </w:rPr>
        <w:fldChar w:fldCharType="separate"/>
      </w:r>
      <w:r>
        <w:rPr>
          <w:sz w:val="21"/>
          <w:szCs w:val="28"/>
          <w:highlight w:val="none"/>
        </w:rPr>
        <w:t>2024.8.20</w:t>
      </w:r>
      <w:r>
        <w:rPr>
          <w:sz w:val="21"/>
          <w:szCs w:val="28"/>
          <w:highlight w:val="none"/>
        </w:rPr>
        <w:fldChar w:fldCharType="end"/>
      </w:r>
      <w:bookmarkEnd w:id="8"/>
    </w:p>
    <w:p w14:paraId="6936F63F">
      <w:pPr>
        <w:pStyle w:val="130"/>
        <w:framePr w:w="9639" w:h="6974" w:hRule="exact" w:wrap="around" w:vAnchor="page" w:hAnchor="page" w:x="1419" w:y="6408" w:anchorLock="1"/>
        <w:spacing w:before="720" w:beforeLines="300" w:after="72" w:afterLines="30" w:line="240" w:lineRule="auto"/>
        <w:textAlignment w:val="bottom"/>
        <w:rPr>
          <w:b/>
          <w:sz w:val="21"/>
          <w:szCs w:val="28"/>
          <w:highlight w:val="none"/>
        </w:rPr>
      </w:pPr>
      <w:r>
        <w:rPr>
          <w:b/>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highlight w:val="none"/>
        </w:rPr>
        <w:instrText xml:space="preserve"> FORMDROPDOWN </w:instrText>
      </w:r>
      <w:r>
        <w:rPr>
          <w:b/>
          <w:sz w:val="21"/>
          <w:szCs w:val="28"/>
          <w:highlight w:val="none"/>
        </w:rPr>
        <w:fldChar w:fldCharType="separate"/>
      </w:r>
      <w:r>
        <w:rPr>
          <w:b/>
          <w:sz w:val="21"/>
          <w:szCs w:val="28"/>
          <w:highlight w:val="none"/>
        </w:rPr>
        <w:fldChar w:fldCharType="end"/>
      </w:r>
      <w:bookmarkEnd w:id="9"/>
    </w:p>
    <w:p w14:paraId="15A075FE">
      <w:pPr>
        <w:pStyle w:val="198"/>
        <w:framePr w:wrap="around" w:y="14176"/>
        <w:rPr>
          <w:highlight w:val="none"/>
        </w:rPr>
      </w:pPr>
      <w:r>
        <w:rPr>
          <w:rFonts w:ascii="黑体"/>
          <w:highlight w:val="none"/>
        </w:rPr>
        <w:fldChar w:fldCharType="begin">
          <w:ffData>
            <w:name w:val="PLSH_DATE_Y"/>
            <w:enabled/>
            <w:calcOnExit w:val="0"/>
            <w:textInput>
              <w:default w:val="XXXX"/>
              <w:maxLength w:val="4"/>
            </w:textInput>
          </w:ffData>
        </w:fldChar>
      </w:r>
      <w:bookmarkStart w:id="10" w:name="PLSH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0"/>
      <w:r>
        <w:rPr>
          <w:rFonts w:ascii="黑体"/>
          <w:highlight w:val="none"/>
        </w:rPr>
        <w:t>-</w:t>
      </w:r>
      <w:r>
        <w:rPr>
          <w:rFonts w:ascii="黑体"/>
          <w:highlight w:val="none"/>
        </w:rPr>
        <w:fldChar w:fldCharType="begin">
          <w:ffData>
            <w:name w:val="PLSH_DATE_M"/>
            <w:enabled/>
            <w:calcOnExit w:val="0"/>
            <w:textInput>
              <w:default w:val="XX"/>
              <w:maxLength w:val="2"/>
            </w:textInput>
          </w:ffData>
        </w:fldChar>
      </w:r>
      <w:bookmarkStart w:id="11"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1"/>
      <w:r>
        <w:rPr>
          <w:rFonts w:ascii="黑体"/>
          <w:highlight w:val="none"/>
        </w:rPr>
        <w:t>-</w:t>
      </w:r>
      <w:r>
        <w:rPr>
          <w:rFonts w:ascii="黑体"/>
          <w:highlight w:val="none"/>
        </w:rPr>
        <w:fldChar w:fldCharType="begin">
          <w:ffData>
            <w:name w:val="PLSH_DATE_D"/>
            <w:enabled/>
            <w:calcOnExit w:val="0"/>
            <w:textInput>
              <w:default w:val="XX"/>
              <w:maxLength w:val="2"/>
            </w:textInput>
          </w:ffData>
        </w:fldChar>
      </w:r>
      <w:bookmarkStart w:id="12"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2"/>
      <w:r>
        <w:rPr>
          <w:rFonts w:hint="eastAsia"/>
          <w:highlight w:val="none"/>
        </w:rPr>
        <w:t>发布</w:t>
      </w:r>
    </w:p>
    <w:p w14:paraId="2A8BA253">
      <w:pPr>
        <w:pStyle w:val="199"/>
        <w:framePr w:wrap="around" w:y="14176"/>
        <w:rPr>
          <w:highlight w:val="none"/>
        </w:rPr>
      </w:pPr>
      <w:r>
        <w:rPr>
          <w:rFonts w:ascii="黑体"/>
          <w:highlight w:val="none"/>
        </w:rPr>
        <w:fldChar w:fldCharType="begin">
          <w:ffData>
            <w:name w:val="CROT_DATE_Y"/>
            <w:enabled/>
            <w:calcOnExit w:val="0"/>
            <w:textInput>
              <w:default w:val="XXXX"/>
              <w:maxLength w:val="4"/>
            </w:textInput>
          </w:ffData>
        </w:fldChar>
      </w:r>
      <w:bookmarkStart w:id="13" w:name="CROT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3"/>
      <w:r>
        <w:rPr>
          <w:rFonts w:ascii="黑体"/>
          <w:highlight w:val="none"/>
        </w:rPr>
        <w:t>-</w:t>
      </w:r>
      <w:r>
        <w:rPr>
          <w:rFonts w:ascii="黑体"/>
          <w:highlight w:val="none"/>
        </w:rPr>
        <w:fldChar w:fldCharType="begin">
          <w:ffData>
            <w:name w:val="CROT_DATE_M"/>
            <w:enabled/>
            <w:calcOnExit w:val="0"/>
            <w:textInput>
              <w:default w:val="XX"/>
              <w:maxLength w:val="2"/>
            </w:textInput>
          </w:ffData>
        </w:fldChar>
      </w:r>
      <w:bookmarkStart w:id="14"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4"/>
      <w:r>
        <w:rPr>
          <w:rFonts w:ascii="黑体"/>
          <w:highlight w:val="none"/>
        </w:rPr>
        <w:t>-</w:t>
      </w:r>
      <w:r>
        <w:rPr>
          <w:rFonts w:ascii="黑体"/>
          <w:highlight w:val="none"/>
        </w:rPr>
        <w:fldChar w:fldCharType="begin">
          <w:ffData>
            <w:name w:val="CROT_DATE_D"/>
            <w:enabled/>
            <w:calcOnExit w:val="0"/>
            <w:textInput>
              <w:default w:val="XX"/>
              <w:maxLength w:val="2"/>
            </w:textInput>
          </w:ffData>
        </w:fldChar>
      </w:r>
      <w:bookmarkStart w:id="15"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5"/>
      <w:r>
        <w:rPr>
          <w:rFonts w:hint="eastAsia"/>
          <w:highlight w:val="none"/>
        </w:rPr>
        <w:t>实施</w:t>
      </w:r>
    </w:p>
    <w:p w14:paraId="56D944B5">
      <w:pPr>
        <w:pStyle w:val="156"/>
        <w:framePr w:h="584" w:hRule="exact" w:hSpace="181" w:vSpace="181" w:wrap="around" w:y="14800"/>
        <w:rPr>
          <w:rFonts w:hAnsi="黑体"/>
          <w:highlight w:val="none"/>
        </w:rPr>
      </w:pPr>
      <w:bookmarkStart w:id="16" w:name="fm"/>
      <w:r>
        <w:rPr>
          <w:rFonts w:hAnsi="黑体"/>
          <w:w w:val="100"/>
          <w:sz w:val="28"/>
          <w:highlight w:val="none"/>
        </w:rPr>
        <w:fldChar w:fldCharType="begin">
          <w:ffData>
            <w:name w:val="fm"/>
            <w:enabled/>
            <w:calcOnExit w:val="0"/>
            <w:textInput>
              <w:default w:val="中国物流与采购联合会"/>
            </w:textInput>
          </w:ffData>
        </w:fldChar>
      </w:r>
      <w:r>
        <w:rPr>
          <w:rFonts w:hAnsi="黑体"/>
          <w:w w:val="100"/>
          <w:sz w:val="28"/>
          <w:highlight w:val="none"/>
        </w:rPr>
        <w:instrText xml:space="preserve"> FORMTEXT </w:instrText>
      </w:r>
      <w:r>
        <w:rPr>
          <w:rFonts w:hAnsi="黑体"/>
          <w:w w:val="100"/>
          <w:sz w:val="28"/>
          <w:highlight w:val="none"/>
        </w:rPr>
        <w:fldChar w:fldCharType="separate"/>
      </w:r>
      <w:r>
        <w:rPr>
          <w:rFonts w:hAnsi="黑体"/>
          <w:w w:val="100"/>
          <w:sz w:val="28"/>
          <w:highlight w:val="none"/>
        </w:rPr>
        <w:t>中国物流与采购联合会</w:t>
      </w:r>
      <w:r>
        <w:rPr>
          <w:rFonts w:hAnsi="黑体"/>
          <w:w w:val="100"/>
          <w:sz w:val="28"/>
          <w:highlight w:val="none"/>
        </w:rPr>
        <w:fldChar w:fldCharType="end"/>
      </w:r>
      <w:bookmarkEnd w:id="16"/>
      <w:r>
        <w:rPr>
          <w:rFonts w:ascii="Times New Roman"/>
          <w:w w:val="100"/>
          <w:sz w:val="28"/>
          <w:highlight w:val="none"/>
        </w:rPr>
        <w:t>  </w:t>
      </w:r>
      <w:r>
        <w:rPr>
          <w:rStyle w:val="234"/>
          <w:rFonts w:hint="eastAsia" w:hAnsi="黑体"/>
          <w:position w:val="0"/>
          <w:highlight w:val="none"/>
        </w:rPr>
        <w:t>发</w:t>
      </w:r>
      <w:r>
        <w:rPr>
          <w:rStyle w:val="234"/>
          <w:rFonts w:hint="eastAsia" w:hAnsi="黑体"/>
          <w:spacing w:val="0"/>
          <w:position w:val="0"/>
          <w:highlight w:val="none"/>
        </w:rPr>
        <w:t>布</w:t>
      </w:r>
    </w:p>
    <w:p w14:paraId="6FE11577">
      <w:pPr>
        <w:rPr>
          <w:rFonts w:ascii="宋体" w:hAnsi="宋体"/>
          <w:sz w:val="28"/>
          <w:szCs w:val="28"/>
          <w:highlight w:val="none"/>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N6QEs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l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DN&#10;6QEs6AEAALgDAAAOAAAAAAAAAAEAIAAAACYBAABkcnMvZTJvRG9jLnhtbFBLBQYAAAAABgAGAFkB&#10;AACABQAAAAA=&#10;">
                <v:fill on="f" focussize="0,0"/>
                <v:stroke color="#000000" joinstyle="round"/>
                <v:imagedata o:title=""/>
                <o:lock v:ext="edit" aspectratio="f"/>
                <w10:anchorlock/>
              </v:line>
            </w:pict>
          </mc:Fallback>
        </mc:AlternateContent>
      </w:r>
    </w:p>
    <w:p w14:paraId="1169F972">
      <w:pPr>
        <w:pStyle w:val="96"/>
        <w:spacing w:after="360"/>
        <w:rPr>
          <w:highlight w:val="none"/>
        </w:rPr>
      </w:pPr>
      <w:bookmarkStart w:id="17" w:name="BookMark1"/>
      <w:r>
        <w:rPr>
          <w:rFonts w:hint="eastAsia"/>
          <w:spacing w:val="320"/>
          <w:highlight w:val="none"/>
        </w:rPr>
        <w:t>目</w:t>
      </w:r>
      <w:r>
        <w:rPr>
          <w:rFonts w:hint="eastAsia"/>
          <w:highlight w:val="none"/>
        </w:rPr>
        <w:t>次</w:t>
      </w:r>
    </w:p>
    <w:p w14:paraId="4C596A8A">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w:instrText>
      </w:r>
      <w:r>
        <w:rPr>
          <w:rFonts w:hint="eastAsia"/>
          <w:highlight w:val="none"/>
        </w:rPr>
        <w:instrText xml:space="preserve">TOC \o "1-1" \h</w:instrText>
      </w:r>
      <w:r>
        <w:rPr>
          <w:highlight w:val="none"/>
        </w:rPr>
        <w:instrText xml:space="preserve"> </w:instrText>
      </w:r>
      <w:r>
        <w:rPr>
          <w:highlight w:val="none"/>
        </w:rPr>
        <w:fldChar w:fldCharType="separate"/>
      </w:r>
      <w:r>
        <w:rPr>
          <w:highlight w:val="none"/>
        </w:rPr>
        <w:fldChar w:fldCharType="begin"/>
      </w:r>
      <w:r>
        <w:rPr>
          <w:highlight w:val="none"/>
        </w:rPr>
        <w:instrText xml:space="preserve"> HYPERLINK \l "_Toc175062073" </w:instrText>
      </w:r>
      <w:r>
        <w:rPr>
          <w:highlight w:val="none"/>
        </w:rPr>
        <w:fldChar w:fldCharType="separate"/>
      </w:r>
      <w:r>
        <w:rPr>
          <w:rStyle w:val="36"/>
          <w:rFonts w:hint="eastAsia"/>
          <w:highlight w:val="none"/>
        </w:rPr>
        <w:t>前言</w:t>
      </w:r>
      <w:r>
        <w:rPr>
          <w:highlight w:val="none"/>
        </w:rPr>
        <w:tab/>
      </w:r>
      <w:r>
        <w:rPr>
          <w:highlight w:val="none"/>
        </w:rPr>
        <w:fldChar w:fldCharType="begin"/>
      </w:r>
      <w:r>
        <w:rPr>
          <w:highlight w:val="none"/>
        </w:rPr>
        <w:instrText xml:space="preserve"> PAGEREF _Toc175062073 \h </w:instrText>
      </w:r>
      <w:r>
        <w:rPr>
          <w:highlight w:val="none"/>
        </w:rPr>
        <w:fldChar w:fldCharType="separate"/>
      </w:r>
      <w:r>
        <w:rPr>
          <w:highlight w:val="none"/>
        </w:rPr>
        <w:t>II</w:t>
      </w:r>
      <w:r>
        <w:rPr>
          <w:highlight w:val="none"/>
        </w:rPr>
        <w:fldChar w:fldCharType="end"/>
      </w:r>
      <w:r>
        <w:rPr>
          <w:highlight w:val="none"/>
        </w:rPr>
        <w:fldChar w:fldCharType="end"/>
      </w:r>
    </w:p>
    <w:p w14:paraId="58294B14">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"_Toc175062074" </w:instrText>
      </w:r>
      <w:r>
        <w:rPr>
          <w:highlight w:val="none"/>
        </w:rPr>
        <w:fldChar w:fldCharType="separate"/>
      </w:r>
      <w:r>
        <w:rPr>
          <w:rStyle w:val="36"/>
          <w:highlight w:val="none"/>
        </w:rPr>
        <w:t xml:space="preserve">1 </w:t>
      </w:r>
      <w:r>
        <w:rPr>
          <w:rStyle w:val="36"/>
          <w:rFonts w:hint="eastAsia"/>
          <w:highlight w:val="none"/>
        </w:rPr>
        <w:t xml:space="preserve"> 范围</w:t>
      </w:r>
      <w:r>
        <w:rPr>
          <w:highlight w:val="none"/>
        </w:rPr>
        <w:tab/>
      </w:r>
      <w:r>
        <w:rPr>
          <w:highlight w:val="none"/>
        </w:rPr>
        <w:fldChar w:fldCharType="begin"/>
      </w:r>
      <w:r>
        <w:rPr>
          <w:highlight w:val="none"/>
        </w:rPr>
        <w:instrText xml:space="preserve"> PAGEREF _Toc175062074 \h </w:instrText>
      </w:r>
      <w:r>
        <w:rPr>
          <w:highlight w:val="none"/>
        </w:rPr>
        <w:fldChar w:fldCharType="separate"/>
      </w:r>
      <w:r>
        <w:rPr>
          <w:highlight w:val="none"/>
        </w:rPr>
        <w:t>1</w:t>
      </w:r>
      <w:r>
        <w:rPr>
          <w:highlight w:val="none"/>
        </w:rPr>
        <w:fldChar w:fldCharType="end"/>
      </w:r>
      <w:r>
        <w:rPr>
          <w:highlight w:val="none"/>
        </w:rPr>
        <w:fldChar w:fldCharType="end"/>
      </w:r>
    </w:p>
    <w:p w14:paraId="093DB60D">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"_Toc175062075" </w:instrText>
      </w:r>
      <w:r>
        <w:rPr>
          <w:highlight w:val="none"/>
        </w:rPr>
        <w:fldChar w:fldCharType="separate"/>
      </w:r>
      <w:r>
        <w:rPr>
          <w:rStyle w:val="36"/>
          <w:highlight w:val="none"/>
        </w:rPr>
        <w:t xml:space="preserve">2 </w:t>
      </w:r>
      <w:r>
        <w:rPr>
          <w:rStyle w:val="36"/>
          <w:rFonts w:hint="eastAsia"/>
          <w:highlight w:val="none"/>
        </w:rPr>
        <w:t xml:space="preserve"> 规范性引用文件</w:t>
      </w:r>
      <w:r>
        <w:rPr>
          <w:highlight w:val="none"/>
        </w:rPr>
        <w:tab/>
      </w:r>
      <w:r>
        <w:rPr>
          <w:highlight w:val="none"/>
        </w:rPr>
        <w:fldChar w:fldCharType="begin"/>
      </w:r>
      <w:r>
        <w:rPr>
          <w:highlight w:val="none"/>
        </w:rPr>
        <w:instrText xml:space="preserve"> PAGEREF _Toc175062075 \h </w:instrText>
      </w:r>
      <w:r>
        <w:rPr>
          <w:highlight w:val="none"/>
        </w:rPr>
        <w:fldChar w:fldCharType="separate"/>
      </w:r>
      <w:r>
        <w:rPr>
          <w:highlight w:val="none"/>
        </w:rPr>
        <w:t>1</w:t>
      </w:r>
      <w:r>
        <w:rPr>
          <w:highlight w:val="none"/>
        </w:rPr>
        <w:fldChar w:fldCharType="end"/>
      </w:r>
      <w:r>
        <w:rPr>
          <w:highlight w:val="none"/>
        </w:rPr>
        <w:fldChar w:fldCharType="end"/>
      </w:r>
    </w:p>
    <w:p w14:paraId="7A859A83">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"_Toc175062076" </w:instrText>
      </w:r>
      <w:r>
        <w:rPr>
          <w:highlight w:val="none"/>
        </w:rPr>
        <w:fldChar w:fldCharType="separate"/>
      </w:r>
      <w:r>
        <w:rPr>
          <w:rStyle w:val="36"/>
          <w:highlight w:val="none"/>
        </w:rPr>
        <w:t xml:space="preserve">3 </w:t>
      </w:r>
      <w:r>
        <w:rPr>
          <w:rStyle w:val="36"/>
          <w:rFonts w:hint="eastAsia"/>
          <w:highlight w:val="none"/>
        </w:rPr>
        <w:t xml:space="preserve"> 术语和定义</w:t>
      </w:r>
      <w:r>
        <w:rPr>
          <w:highlight w:val="none"/>
        </w:rPr>
        <w:tab/>
      </w:r>
      <w:r>
        <w:rPr>
          <w:highlight w:val="none"/>
        </w:rPr>
        <w:fldChar w:fldCharType="begin"/>
      </w:r>
      <w:r>
        <w:rPr>
          <w:highlight w:val="none"/>
        </w:rPr>
        <w:instrText xml:space="preserve"> PAGEREF _Toc175062076 \h </w:instrText>
      </w:r>
      <w:r>
        <w:rPr>
          <w:highlight w:val="none"/>
        </w:rPr>
        <w:fldChar w:fldCharType="separate"/>
      </w:r>
      <w:r>
        <w:rPr>
          <w:highlight w:val="none"/>
        </w:rPr>
        <w:t>1</w:t>
      </w:r>
      <w:r>
        <w:rPr>
          <w:highlight w:val="none"/>
        </w:rPr>
        <w:fldChar w:fldCharType="end"/>
      </w:r>
      <w:r>
        <w:rPr>
          <w:highlight w:val="none"/>
        </w:rPr>
        <w:fldChar w:fldCharType="end"/>
      </w:r>
    </w:p>
    <w:p w14:paraId="2979428B">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"_Toc175062077" </w:instrText>
      </w:r>
      <w:r>
        <w:rPr>
          <w:highlight w:val="none"/>
        </w:rPr>
        <w:fldChar w:fldCharType="separate"/>
      </w:r>
      <w:r>
        <w:rPr>
          <w:rStyle w:val="36"/>
          <w:highlight w:val="none"/>
        </w:rPr>
        <w:t xml:space="preserve">4 </w:t>
      </w:r>
      <w:r>
        <w:rPr>
          <w:rStyle w:val="36"/>
          <w:rFonts w:hint="eastAsia"/>
          <w:highlight w:val="none"/>
        </w:rPr>
        <w:t xml:space="preserve"> 缩略语</w:t>
      </w:r>
      <w:r>
        <w:rPr>
          <w:highlight w:val="none"/>
        </w:rPr>
        <w:tab/>
      </w:r>
      <w:r>
        <w:rPr>
          <w:highlight w:val="none"/>
        </w:rPr>
        <w:fldChar w:fldCharType="begin"/>
      </w:r>
      <w:r>
        <w:rPr>
          <w:highlight w:val="none"/>
        </w:rPr>
        <w:instrText xml:space="preserve"> PAGEREF _Toc175062077 \h </w:instrText>
      </w:r>
      <w:r>
        <w:rPr>
          <w:highlight w:val="none"/>
        </w:rPr>
        <w:fldChar w:fldCharType="separate"/>
      </w:r>
      <w:r>
        <w:rPr>
          <w:highlight w:val="none"/>
        </w:rPr>
        <w:t>1</w:t>
      </w:r>
      <w:r>
        <w:rPr>
          <w:highlight w:val="none"/>
        </w:rPr>
        <w:fldChar w:fldCharType="end"/>
      </w:r>
      <w:r>
        <w:rPr>
          <w:highlight w:val="none"/>
        </w:rPr>
        <w:fldChar w:fldCharType="end"/>
      </w:r>
    </w:p>
    <w:p w14:paraId="5B29E052">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"_Toc175062078" </w:instrText>
      </w:r>
      <w:r>
        <w:rPr>
          <w:highlight w:val="none"/>
        </w:rPr>
        <w:fldChar w:fldCharType="separate"/>
      </w:r>
      <w:r>
        <w:rPr>
          <w:rStyle w:val="36"/>
          <w:highlight w:val="none"/>
        </w:rPr>
        <w:t xml:space="preserve">5 </w:t>
      </w:r>
      <w:r>
        <w:rPr>
          <w:rStyle w:val="36"/>
          <w:rFonts w:hint="eastAsia"/>
          <w:highlight w:val="none"/>
        </w:rPr>
        <w:t xml:space="preserve"> 基本要求</w:t>
      </w:r>
      <w:r>
        <w:rPr>
          <w:highlight w:val="none"/>
        </w:rPr>
        <w:tab/>
      </w:r>
      <w:r>
        <w:rPr>
          <w:highlight w:val="none"/>
        </w:rPr>
        <w:fldChar w:fldCharType="begin"/>
      </w:r>
      <w:r>
        <w:rPr>
          <w:highlight w:val="none"/>
        </w:rPr>
        <w:instrText xml:space="preserve"> PAGEREF _Toc175062078 \h </w:instrText>
      </w:r>
      <w:r>
        <w:rPr>
          <w:highlight w:val="none"/>
        </w:rPr>
        <w:fldChar w:fldCharType="separate"/>
      </w:r>
      <w:r>
        <w:rPr>
          <w:highlight w:val="none"/>
        </w:rPr>
        <w:t>2</w:t>
      </w:r>
      <w:r>
        <w:rPr>
          <w:highlight w:val="none"/>
        </w:rPr>
        <w:fldChar w:fldCharType="end"/>
      </w:r>
      <w:r>
        <w:rPr>
          <w:highlight w:val="none"/>
        </w:rPr>
        <w:fldChar w:fldCharType="end"/>
      </w:r>
    </w:p>
    <w:p w14:paraId="72806600">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"_Toc175062079" </w:instrText>
      </w:r>
      <w:r>
        <w:rPr>
          <w:highlight w:val="none"/>
        </w:rPr>
        <w:fldChar w:fldCharType="separate"/>
      </w:r>
      <w:r>
        <w:rPr>
          <w:rStyle w:val="36"/>
          <w:highlight w:val="none"/>
        </w:rPr>
        <w:t xml:space="preserve">6 </w:t>
      </w:r>
      <w:r>
        <w:rPr>
          <w:rStyle w:val="36"/>
          <w:rFonts w:hint="eastAsia"/>
          <w:highlight w:val="none"/>
        </w:rPr>
        <w:t xml:space="preserve"> 技术要求</w:t>
      </w:r>
      <w:r>
        <w:rPr>
          <w:highlight w:val="none"/>
        </w:rPr>
        <w:tab/>
      </w:r>
      <w:r>
        <w:rPr>
          <w:highlight w:val="none"/>
        </w:rPr>
        <w:fldChar w:fldCharType="begin"/>
      </w:r>
      <w:r>
        <w:rPr>
          <w:highlight w:val="none"/>
        </w:rPr>
        <w:instrText xml:space="preserve"> PAGEREF _Toc175062079 \h </w:instrText>
      </w:r>
      <w:r>
        <w:rPr>
          <w:highlight w:val="none"/>
        </w:rPr>
        <w:fldChar w:fldCharType="separate"/>
      </w:r>
      <w:r>
        <w:rPr>
          <w:highlight w:val="none"/>
        </w:rPr>
        <w:t>2</w:t>
      </w:r>
      <w:r>
        <w:rPr>
          <w:highlight w:val="none"/>
        </w:rPr>
        <w:fldChar w:fldCharType="end"/>
      </w:r>
      <w:r>
        <w:rPr>
          <w:highlight w:val="none"/>
        </w:rPr>
        <w:fldChar w:fldCharType="end"/>
      </w:r>
    </w:p>
    <w:p w14:paraId="034B5A6F">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"_Toc175062080" </w:instrText>
      </w:r>
      <w:r>
        <w:rPr>
          <w:highlight w:val="none"/>
        </w:rPr>
        <w:fldChar w:fldCharType="separate"/>
      </w:r>
      <w:r>
        <w:rPr>
          <w:rStyle w:val="36"/>
          <w:highlight w:val="none"/>
        </w:rPr>
        <w:t xml:space="preserve">7 </w:t>
      </w:r>
      <w:r>
        <w:rPr>
          <w:rStyle w:val="36"/>
          <w:rFonts w:hint="eastAsia"/>
          <w:highlight w:val="none"/>
        </w:rPr>
        <w:t xml:space="preserve"> 管理要求</w:t>
      </w:r>
      <w:r>
        <w:rPr>
          <w:highlight w:val="none"/>
        </w:rPr>
        <w:tab/>
      </w:r>
      <w:r>
        <w:rPr>
          <w:highlight w:val="none"/>
        </w:rPr>
        <w:fldChar w:fldCharType="begin"/>
      </w:r>
      <w:r>
        <w:rPr>
          <w:highlight w:val="none"/>
        </w:rPr>
        <w:instrText xml:space="preserve"> PAGEREF _Toc175062080 \h </w:instrText>
      </w:r>
      <w:r>
        <w:rPr>
          <w:highlight w:val="none"/>
        </w:rPr>
        <w:fldChar w:fldCharType="separate"/>
      </w:r>
      <w:r>
        <w:rPr>
          <w:highlight w:val="none"/>
        </w:rPr>
        <w:t>4</w:t>
      </w:r>
      <w:r>
        <w:rPr>
          <w:highlight w:val="none"/>
        </w:rPr>
        <w:fldChar w:fldCharType="end"/>
      </w:r>
      <w:r>
        <w:rPr>
          <w:highlight w:val="none"/>
        </w:rPr>
        <w:fldChar w:fldCharType="end"/>
      </w:r>
    </w:p>
    <w:p w14:paraId="279C44C3">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"_Toc175062081" </w:instrText>
      </w:r>
      <w:r>
        <w:rPr>
          <w:highlight w:val="none"/>
        </w:rPr>
        <w:fldChar w:fldCharType="separate"/>
      </w:r>
      <w:r>
        <w:rPr>
          <w:rStyle w:val="36"/>
          <w:rFonts w:hint="eastAsia"/>
          <w:highlight w:val="none"/>
        </w:rPr>
        <w:t>参考文献</w:t>
      </w:r>
      <w:r>
        <w:rPr>
          <w:highlight w:val="none"/>
        </w:rPr>
        <w:tab/>
      </w:r>
      <w:r>
        <w:rPr>
          <w:highlight w:val="none"/>
        </w:rPr>
        <w:fldChar w:fldCharType="begin"/>
      </w:r>
      <w:r>
        <w:rPr>
          <w:highlight w:val="none"/>
        </w:rPr>
        <w:instrText xml:space="preserve"> PAGEREF _Toc175062081 \h </w:instrText>
      </w:r>
      <w:r>
        <w:rPr>
          <w:highlight w:val="none"/>
        </w:rPr>
        <w:fldChar w:fldCharType="separate"/>
      </w:r>
      <w:r>
        <w:rPr>
          <w:highlight w:val="none"/>
        </w:rPr>
        <w:t>6</w:t>
      </w:r>
      <w:r>
        <w:rPr>
          <w:highlight w:val="none"/>
        </w:rPr>
        <w:fldChar w:fldCharType="end"/>
      </w:r>
      <w:r>
        <w:rPr>
          <w:highlight w:val="none"/>
        </w:rPr>
        <w:fldChar w:fldCharType="end"/>
      </w:r>
    </w:p>
    <w:p w14:paraId="4EF99519">
      <w:pPr>
        <w:pStyle w:val="96"/>
        <w:spacing w:after="360"/>
        <w:rPr>
          <w:highlight w:val="none"/>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rPr>
          <w:highlight w:val="none"/>
        </w:rPr>
        <w:fldChar w:fldCharType="end"/>
      </w:r>
    </w:p>
    <w:bookmarkEnd w:id="17"/>
    <w:p w14:paraId="3019423C">
      <w:pPr>
        <w:pStyle w:val="94"/>
        <w:spacing w:after="360"/>
        <w:rPr>
          <w:highlight w:val="none"/>
        </w:rPr>
      </w:pPr>
      <w:bookmarkStart w:id="18" w:name="_Toc175062073"/>
      <w:bookmarkStart w:id="19" w:name="BookMark2"/>
      <w:r>
        <w:rPr>
          <w:spacing w:val="320"/>
          <w:highlight w:val="none"/>
        </w:rPr>
        <w:t>前</w:t>
      </w:r>
      <w:r>
        <w:rPr>
          <w:highlight w:val="none"/>
        </w:rPr>
        <w:t>言</w:t>
      </w:r>
      <w:bookmarkEnd w:id="18"/>
    </w:p>
    <w:p w14:paraId="6FCFDA7D">
      <w:pPr>
        <w:pStyle w:val="61"/>
        <w:ind w:firstLine="420"/>
        <w:rPr>
          <w:highlight w:val="none"/>
        </w:rPr>
      </w:pPr>
      <w:r>
        <w:rPr>
          <w:rFonts w:hint="eastAsia"/>
          <w:highlight w:val="none"/>
        </w:rPr>
        <w:t>本文件按照GB/T 1.1—2020《标准化工作导则  第1部分：标准化文件的结构和起草规则》的规定起草。</w:t>
      </w:r>
    </w:p>
    <w:p w14:paraId="71642E14">
      <w:pPr>
        <w:pStyle w:val="61"/>
        <w:ind w:firstLine="420"/>
        <w:rPr>
          <w:highlight w:val="none"/>
        </w:rPr>
      </w:pPr>
      <w:r>
        <w:rPr>
          <w:rFonts w:hint="eastAsia"/>
          <w:highlight w:val="none"/>
        </w:rPr>
        <w:t>请注意本文件的某些内容可能涉及专利。本文件的发布机构不承担识别专利的责任。</w:t>
      </w:r>
    </w:p>
    <w:p w14:paraId="2708854C">
      <w:pPr>
        <w:pStyle w:val="61"/>
        <w:ind w:firstLine="420"/>
        <w:rPr>
          <w:highlight w:val="none"/>
        </w:rPr>
      </w:pPr>
      <w:r>
        <w:rPr>
          <w:rFonts w:hint="eastAsia"/>
          <w:highlight w:val="none"/>
        </w:rPr>
        <w:t>本文件由中国物流与采购联合会提出。</w:t>
      </w:r>
    </w:p>
    <w:p w14:paraId="582E9887">
      <w:pPr>
        <w:pStyle w:val="61"/>
        <w:ind w:firstLine="420"/>
        <w:rPr>
          <w:highlight w:val="none"/>
        </w:rPr>
      </w:pPr>
      <w:r>
        <w:rPr>
          <w:rFonts w:hint="eastAsia"/>
          <w:highlight w:val="none"/>
        </w:rPr>
        <w:t>本文件由中国物流与采购联合会团体标准化技术委员会归口。</w:t>
      </w:r>
    </w:p>
    <w:p w14:paraId="139B3AC7">
      <w:pPr>
        <w:pStyle w:val="61"/>
        <w:ind w:firstLine="420"/>
        <w:rPr>
          <w:highlight w:val="none"/>
        </w:rPr>
      </w:pPr>
      <w:r>
        <w:rPr>
          <w:rFonts w:hint="eastAsia"/>
          <w:highlight w:val="none"/>
        </w:rPr>
        <w:t>本文件起草单位：中国物流与采购联合会危化品物流分会、中国物流与采购联合会物联网技术与应用专业委员会、张家港保税区长江国际港务有限公司、广东宏川智慧物流股份有限公司、江阴恒阳物流集团、福建中远海运化工码头有限公司、东莞市百安石化仓储有限公司、陕西延长石油集团三原销售有限公司、江苏丽天石化码头有限公司、中化能源物流有限公司、六六云链科技（宁波）有限公司。</w:t>
      </w:r>
    </w:p>
    <w:p w14:paraId="162A67C7">
      <w:pPr>
        <w:pStyle w:val="61"/>
        <w:ind w:firstLine="420"/>
        <w:rPr>
          <w:highlight w:val="none"/>
        </w:rPr>
      </w:pPr>
      <w:r>
        <w:rPr>
          <w:rFonts w:hint="eastAsia"/>
          <w:highlight w:val="none"/>
        </w:rPr>
        <w:t>本文件主要起草人：刘宇航、韩冰、吕忠、沈启星、李金伟、褚月锋、田运涛、曲宏伟、赵春波、梁文立、张冰、张水、蔡月、蔡执阳、黄诚、杨晓东、孙黎明、张帆。</w:t>
      </w:r>
    </w:p>
    <w:p w14:paraId="072C1D79">
      <w:pPr>
        <w:pStyle w:val="61"/>
        <w:ind w:firstLine="420"/>
        <w:rPr>
          <w:highlight w:val="none"/>
        </w:rPr>
      </w:pPr>
    </w:p>
    <w:p w14:paraId="085D452A">
      <w:pPr>
        <w:pStyle w:val="61"/>
        <w:ind w:firstLine="420"/>
        <w:rPr>
          <w:highlight w:val="none"/>
        </w:rPr>
      </w:pPr>
    </w:p>
    <w:p w14:paraId="4701EC42">
      <w:pPr>
        <w:pStyle w:val="195"/>
        <w:rPr>
          <w:highlight w:val="none"/>
        </w:rPr>
      </w:pPr>
      <w:r>
        <w:rPr>
          <w:rFonts w:hint="eastAsia"/>
          <w:highlight w:val="none"/>
        </w:rPr>
        <w:t xml:space="preserve">声明：本文件的知识产权归属于中国物流与采购联合会，未经中国物流与采购联合会同意，不得印刷、销售。任何组织、个人使用本文件开展认证、检测等活动应经中国物流与采购联合会批准授权。 </w:t>
      </w:r>
    </w:p>
    <w:p w14:paraId="4E150203">
      <w:pPr>
        <w:pStyle w:val="61"/>
        <w:ind w:firstLine="420"/>
        <w:rPr>
          <w:highlight w:val="none"/>
        </w:rPr>
      </w:pPr>
    </w:p>
    <w:p w14:paraId="7EB10FEE">
      <w:pPr>
        <w:pStyle w:val="61"/>
        <w:ind w:firstLine="420"/>
        <w:rPr>
          <w:highlight w:val="none"/>
        </w:rPr>
        <w:sectPr>
          <w:pgSz w:w="11906" w:h="16838"/>
          <w:pgMar w:top="1928" w:right="1134" w:bottom="1134" w:left="1134" w:header="1418" w:footer="1134" w:gutter="284"/>
          <w:pgNumType w:fmt="upperRoman"/>
          <w:cols w:space="425" w:num="1"/>
          <w:formProt w:val="0"/>
          <w:docGrid w:linePitch="312" w:charSpace="0"/>
        </w:sectPr>
      </w:pPr>
    </w:p>
    <w:bookmarkEnd w:id="19"/>
    <w:p w14:paraId="50167838">
      <w:pPr>
        <w:spacing w:line="20" w:lineRule="exact"/>
        <w:jc w:val="center"/>
        <w:rPr>
          <w:rFonts w:ascii="黑体" w:hAnsi="黑体" w:eastAsia="黑体"/>
          <w:sz w:val="32"/>
          <w:szCs w:val="32"/>
          <w:highlight w:val="none"/>
        </w:rPr>
      </w:pPr>
      <w:bookmarkStart w:id="20" w:name="BookMark4"/>
    </w:p>
    <w:p w14:paraId="58B18A99">
      <w:pPr>
        <w:spacing w:line="20" w:lineRule="exact"/>
        <w:jc w:val="center"/>
        <w:rPr>
          <w:rFonts w:ascii="黑体" w:hAnsi="黑体" w:eastAsia="黑体"/>
          <w:sz w:val="32"/>
          <w:szCs w:val="32"/>
          <w:highlight w:val="none"/>
        </w:rPr>
      </w:pPr>
    </w:p>
    <w:sdt>
      <w:sdtPr>
        <w:rPr>
          <w:highlight w:val="none"/>
        </w:rPr>
        <w:tag w:val="NEW_STAND_NAME"/>
        <w:id w:val="595910757"/>
        <w:lock w:val="sdtLocked"/>
        <w:placeholder>
          <w:docPart w:val="A12EF174C851423CB9267B386AE8F9D9"/>
        </w:placeholder>
      </w:sdtPr>
      <w:sdtEndPr>
        <w:rPr>
          <w:highlight w:val="none"/>
        </w:rPr>
      </w:sdtEndPr>
      <w:sdtContent>
        <w:p w14:paraId="7A93B5A1">
          <w:pPr>
            <w:pStyle w:val="182"/>
            <w:rPr>
              <w:highlight w:val="none"/>
            </w:rPr>
          </w:pPr>
          <w:bookmarkStart w:id="21" w:name="NEW_STAND_NAME"/>
          <w:r>
            <w:rPr>
              <w:rFonts w:hint="eastAsia"/>
              <w:highlight w:val="none"/>
            </w:rPr>
            <w:t>液体化工品数字化仓库基本要求</w:t>
          </w:r>
        </w:p>
      </w:sdtContent>
    </w:sdt>
    <w:bookmarkEnd w:id="21"/>
    <w:p w14:paraId="5D1D2527">
      <w:pPr>
        <w:pStyle w:val="109"/>
        <w:spacing w:before="240" w:after="240"/>
        <w:rPr>
          <w:highlight w:val="none"/>
        </w:rPr>
      </w:pPr>
      <w:bookmarkStart w:id="22" w:name="_Toc175062074"/>
      <w:bookmarkStart w:id="23" w:name="_Toc24884211"/>
      <w:bookmarkStart w:id="24" w:name="_Toc26718930"/>
      <w:bookmarkStart w:id="25" w:name="_Toc17233325"/>
      <w:bookmarkStart w:id="26" w:name="_Toc97192964"/>
      <w:bookmarkStart w:id="27" w:name="_Toc17233333"/>
      <w:bookmarkStart w:id="28" w:name="_Toc26986530"/>
      <w:bookmarkStart w:id="29" w:name="_Toc24884218"/>
      <w:bookmarkStart w:id="30" w:name="_Toc26648465"/>
      <w:bookmarkStart w:id="31" w:name="_Toc26986771"/>
      <w:r>
        <w:rPr>
          <w:rFonts w:hint="eastAsia"/>
          <w:highlight w:val="none"/>
        </w:rPr>
        <w:t>范围</w:t>
      </w:r>
      <w:bookmarkEnd w:id="22"/>
      <w:bookmarkEnd w:id="23"/>
      <w:bookmarkEnd w:id="24"/>
      <w:bookmarkEnd w:id="25"/>
      <w:bookmarkEnd w:id="26"/>
      <w:bookmarkEnd w:id="27"/>
      <w:bookmarkEnd w:id="28"/>
      <w:bookmarkEnd w:id="29"/>
      <w:bookmarkEnd w:id="30"/>
      <w:bookmarkEnd w:id="31"/>
    </w:p>
    <w:p w14:paraId="5543E49D">
      <w:pPr>
        <w:pStyle w:val="61"/>
        <w:ind w:firstLine="420"/>
        <w:rPr>
          <w:highlight w:val="none"/>
        </w:rPr>
      </w:pPr>
      <w:bookmarkStart w:id="32" w:name="_Toc26648466"/>
      <w:bookmarkStart w:id="33" w:name="_Toc24884219"/>
      <w:bookmarkStart w:id="34" w:name="_Toc24884212"/>
      <w:bookmarkStart w:id="35" w:name="_Toc17233326"/>
      <w:bookmarkStart w:id="36" w:name="_Toc17233334"/>
      <w:r>
        <w:rPr>
          <w:rFonts w:hint="eastAsia"/>
          <w:highlight w:val="none"/>
        </w:rPr>
        <w:t>本文件规定了液体化工品数字化仓库的基本要求、技术要求和管理要求。</w:t>
      </w:r>
    </w:p>
    <w:p w14:paraId="3A4AA740">
      <w:pPr>
        <w:pStyle w:val="61"/>
        <w:ind w:firstLine="420"/>
        <w:rPr>
          <w:highlight w:val="none"/>
        </w:rPr>
      </w:pPr>
      <w:r>
        <w:rPr>
          <w:rFonts w:hint="eastAsia"/>
          <w:highlight w:val="none"/>
        </w:rPr>
        <w:t>本文件适用于液体化工品数字化仓库的建设及运营管理。</w:t>
      </w:r>
    </w:p>
    <w:p w14:paraId="58418C40">
      <w:pPr>
        <w:pStyle w:val="109"/>
        <w:spacing w:before="240" w:after="240"/>
        <w:rPr>
          <w:highlight w:val="none"/>
        </w:rPr>
      </w:pPr>
      <w:bookmarkStart w:id="37" w:name="_Toc175062075"/>
      <w:bookmarkStart w:id="38" w:name="_Toc97192965"/>
      <w:bookmarkStart w:id="39" w:name="_Toc26986772"/>
      <w:bookmarkStart w:id="40" w:name="_Toc26718931"/>
      <w:bookmarkStart w:id="41" w:name="_Toc26986531"/>
      <w:r>
        <w:rPr>
          <w:rFonts w:hint="eastAsia"/>
          <w:highlight w:val="none"/>
        </w:rPr>
        <w:t>规范性引用文件</w:t>
      </w:r>
      <w:bookmarkEnd w:id="32"/>
      <w:bookmarkEnd w:id="33"/>
      <w:bookmarkEnd w:id="34"/>
      <w:bookmarkEnd w:id="35"/>
      <w:bookmarkEnd w:id="36"/>
      <w:bookmarkEnd w:id="37"/>
      <w:bookmarkEnd w:id="38"/>
      <w:bookmarkEnd w:id="39"/>
      <w:bookmarkEnd w:id="40"/>
      <w:bookmarkEnd w:id="41"/>
    </w:p>
    <w:sdt>
      <w:sdtPr>
        <w:rPr>
          <w:rFonts w:hint="eastAsia"/>
          <w:highlight w:val="none"/>
        </w:rPr>
        <w:id w:val="715848253"/>
        <w:placeholder>
          <w:docPart w:val="0E84F36CDFEB40C69839C91B7DAFA72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0DC48EDE">
          <w:pPr>
            <w:pStyle w:val="61"/>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01902A">
      <w:pPr>
        <w:pStyle w:val="61"/>
        <w:ind w:firstLine="420"/>
        <w:rPr>
          <w:highlight w:val="none"/>
        </w:rPr>
      </w:pPr>
      <w:r>
        <w:rPr>
          <w:rFonts w:hint="eastAsia"/>
          <w:highlight w:val="none"/>
        </w:rPr>
        <w:t xml:space="preserve">GB/T　41479—2022　信息安全技术网络数据处理安全要求 </w:t>
      </w:r>
    </w:p>
    <w:p w14:paraId="5054241E">
      <w:pPr>
        <w:pStyle w:val="61"/>
        <w:ind w:firstLine="420"/>
        <w:rPr>
          <w:highlight w:val="none"/>
        </w:rPr>
      </w:pPr>
      <w:r>
        <w:rPr>
          <w:rFonts w:hint="eastAsia"/>
          <w:highlight w:val="none"/>
        </w:rPr>
        <w:t>GB　50116　火灾自动报警系统设计规范</w:t>
      </w:r>
    </w:p>
    <w:p w14:paraId="2AD7413E">
      <w:pPr>
        <w:pStyle w:val="61"/>
        <w:ind w:firstLine="420"/>
        <w:rPr>
          <w:highlight w:val="none"/>
        </w:rPr>
      </w:pPr>
      <w:r>
        <w:rPr>
          <w:rFonts w:hint="eastAsia"/>
          <w:highlight w:val="none"/>
        </w:rPr>
        <w:t>WB/T　1118　数字化仓库基本要求</w:t>
      </w:r>
    </w:p>
    <w:p w14:paraId="1778ED6B">
      <w:pPr>
        <w:pStyle w:val="61"/>
        <w:ind w:firstLine="420"/>
        <w:rPr>
          <w:highlight w:val="none"/>
        </w:rPr>
      </w:pPr>
      <w:r>
        <w:rPr>
          <w:rFonts w:hint="eastAsia"/>
          <w:highlight w:val="none"/>
        </w:rPr>
        <w:t>AQ　3035—2010　危险化学品重大危险源安全监控通用技术规范</w:t>
      </w:r>
    </w:p>
    <w:p w14:paraId="04A750A9">
      <w:pPr>
        <w:pStyle w:val="61"/>
        <w:ind w:firstLine="420"/>
        <w:rPr>
          <w:highlight w:val="none"/>
        </w:rPr>
      </w:pPr>
      <w:r>
        <w:rPr>
          <w:rFonts w:hint="eastAsia"/>
          <w:highlight w:val="none"/>
        </w:rPr>
        <w:t>AQ　3036—2010　危险化学品重大危险源罐区现场安全监控装备设置规范</w:t>
      </w:r>
    </w:p>
    <w:p w14:paraId="62B3E437">
      <w:pPr>
        <w:pStyle w:val="109"/>
        <w:spacing w:before="240" w:after="240"/>
        <w:rPr>
          <w:highlight w:val="none"/>
        </w:rPr>
      </w:pPr>
      <w:bookmarkStart w:id="42" w:name="_Toc97192966"/>
      <w:bookmarkStart w:id="43" w:name="_Toc175062076"/>
      <w:r>
        <w:rPr>
          <w:rFonts w:hint="eastAsia"/>
          <w:szCs w:val="21"/>
          <w:highlight w:val="none"/>
        </w:rPr>
        <w:t>术语和定义</w:t>
      </w:r>
      <w:bookmarkEnd w:id="42"/>
      <w:bookmarkEnd w:id="43"/>
    </w:p>
    <w:sdt>
      <w:sdtPr>
        <w:rPr>
          <w:highlight w:val="none"/>
        </w:rPr>
        <w:id w:val="-1909835108"/>
        <w:placeholder>
          <w:docPart w:val="1CC556CE795A48FD8CEA7249A4B7FE3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0FF56E5A">
          <w:pPr>
            <w:pStyle w:val="61"/>
            <w:ind w:firstLine="420"/>
            <w:rPr>
              <w:highlight w:val="none"/>
            </w:rPr>
          </w:pPr>
          <w:bookmarkStart w:id="44" w:name="_Toc26986532"/>
          <w:bookmarkEnd w:id="44"/>
          <w:r>
            <w:rPr>
              <w:rFonts w:hint="eastAsia"/>
              <w:highlight w:val="none"/>
            </w:rPr>
            <w:t>WB/T　1118</w:t>
          </w:r>
          <w:r>
            <w:rPr>
              <w:highlight w:val="none"/>
            </w:rPr>
            <w:t>界定的术语和定义适用于本文件。</w:t>
          </w:r>
        </w:p>
      </w:sdtContent>
    </w:sdt>
    <w:p w14:paraId="60DBC677">
      <w:pPr>
        <w:pStyle w:val="228"/>
        <w:spacing w:before="120" w:beforeLines="50" w:after="120" w:afterLines="50"/>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数字化仓库 digital warehouse</w:t>
      </w:r>
    </w:p>
    <w:p w14:paraId="70845EE5">
      <w:pPr>
        <w:pStyle w:val="61"/>
        <w:ind w:firstLine="420"/>
        <w:rPr>
          <w:highlight w:val="none"/>
        </w:rPr>
      </w:pPr>
      <w:r>
        <w:rPr>
          <w:rFonts w:hint="eastAsia"/>
          <w:highlight w:val="none"/>
        </w:rPr>
        <w:t>以储存活动为基础，以数字化技术和设备设施为保障，用数据连接仓库活动各环节，对仓库活动过程进行规划、管理、诊断和优化的仓库。</w:t>
      </w:r>
    </w:p>
    <w:p w14:paraId="2812E198">
      <w:pPr>
        <w:pStyle w:val="61"/>
        <w:ind w:firstLine="420"/>
        <w:rPr>
          <w:highlight w:val="none"/>
        </w:rPr>
      </w:pPr>
      <w:r>
        <w:rPr>
          <w:highlight w:val="none"/>
        </w:rPr>
        <w:t>［来源：</w:t>
      </w:r>
      <w:r>
        <w:rPr>
          <w:rFonts w:hint="eastAsia"/>
          <w:highlight w:val="none"/>
        </w:rPr>
        <w:t>WB/T　1118—2022，3.4，有修改</w:t>
      </w:r>
      <w:r>
        <w:rPr>
          <w:highlight w:val="none"/>
        </w:rPr>
        <w:t>］</w:t>
      </w:r>
    </w:p>
    <w:p w14:paraId="0DECB64D">
      <w:pPr>
        <w:pStyle w:val="228"/>
        <w:spacing w:before="120" w:beforeLines="50" w:after="120" w:afterLines="50"/>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液体化工品数字化仓库 liquid chemical</w:t>
      </w:r>
      <w:r>
        <w:rPr>
          <w:rFonts w:hint="eastAsia" w:ascii="黑体" w:hAnsi="黑体" w:eastAsia="黑体"/>
          <w:highlight w:val="none"/>
          <w:lang w:val="en-US" w:eastAsia="zh-CN"/>
        </w:rPr>
        <w:t xml:space="preserve"> </w:t>
      </w:r>
      <w:r>
        <w:rPr>
          <w:rFonts w:hint="eastAsia" w:ascii="黑体" w:hAnsi="黑体" w:eastAsia="黑体"/>
          <w:highlight w:val="none"/>
        </w:rPr>
        <w:t xml:space="preserve">products </w:t>
      </w:r>
      <w:r>
        <w:rPr>
          <w:rFonts w:hint="eastAsia" w:ascii="黑体" w:hAnsi="黑体" w:eastAsia="黑体"/>
          <w:highlight w:val="none"/>
        </w:rPr>
        <w:t>digital warehouse</w:t>
      </w:r>
    </w:p>
    <w:p w14:paraId="0BCDB23E">
      <w:pPr>
        <w:pStyle w:val="61"/>
        <w:ind w:firstLine="420"/>
        <w:rPr>
          <w:highlight w:val="none"/>
        </w:rPr>
      </w:pPr>
      <w:r>
        <w:rPr>
          <w:rFonts w:hint="eastAsia"/>
          <w:highlight w:val="none"/>
        </w:rPr>
        <w:t>用于储存液体化工品的数字化仓库。</w:t>
      </w:r>
    </w:p>
    <w:p w14:paraId="0209C3F9">
      <w:pPr>
        <w:pStyle w:val="228"/>
        <w:spacing w:before="120" w:beforeLines="50" w:after="120" w:afterLines="50"/>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物联网 internet of things；IoT</w:t>
      </w:r>
    </w:p>
    <w:p w14:paraId="73C61BFB">
      <w:pPr>
        <w:pStyle w:val="61"/>
        <w:ind w:firstLine="420"/>
        <w:rPr>
          <w:highlight w:val="none"/>
        </w:rPr>
      </w:pPr>
      <w:r>
        <w:rPr>
          <w:rFonts w:hint="eastAsia"/>
          <w:highlight w:val="none"/>
        </w:rPr>
        <w:t>通过感知设备，按照约定协议，连接物、人、系统和信息资源，实现对物理和虚拟世界的信息进行处理并做出反应的智能服务系统。</w:t>
      </w:r>
    </w:p>
    <w:p w14:paraId="337C778E">
      <w:pPr>
        <w:pStyle w:val="184"/>
        <w:rPr>
          <w:highlight w:val="none"/>
        </w:rPr>
      </w:pPr>
      <w:r>
        <w:rPr>
          <w:rFonts w:hint="eastAsia"/>
          <w:highlight w:val="none"/>
        </w:rPr>
        <w:t>物即物理实体。</w:t>
      </w:r>
    </w:p>
    <w:p w14:paraId="53B26A5B">
      <w:pPr>
        <w:pStyle w:val="61"/>
        <w:ind w:firstLine="420"/>
        <w:rPr>
          <w:highlight w:val="none"/>
        </w:rPr>
      </w:pPr>
      <w:r>
        <w:rPr>
          <w:rFonts w:hint="eastAsia"/>
          <w:highlight w:val="none"/>
        </w:rPr>
        <w:t>[来源：GB/T　33745—2017, 2.1.1]</w:t>
      </w:r>
    </w:p>
    <w:p w14:paraId="390C7DA3">
      <w:pPr>
        <w:pStyle w:val="109"/>
        <w:spacing w:before="240" w:after="240"/>
        <w:rPr>
          <w:highlight w:val="none"/>
        </w:rPr>
      </w:pPr>
      <w:bookmarkStart w:id="45" w:name="_Toc175062077"/>
      <w:r>
        <w:rPr>
          <w:highlight w:val="none"/>
        </w:rPr>
        <w:t>缩略语</w:t>
      </w:r>
      <w:bookmarkEnd w:id="45"/>
    </w:p>
    <w:p w14:paraId="7B0370C5">
      <w:pPr>
        <w:pStyle w:val="61"/>
        <w:ind w:firstLine="420"/>
        <w:rPr>
          <w:highlight w:val="none"/>
        </w:rPr>
      </w:pPr>
      <w:r>
        <w:rPr>
          <w:rFonts w:hint="eastAsia"/>
          <w:highlight w:val="none"/>
        </w:rPr>
        <w:t>下列缩略语适用于本文件。</w:t>
      </w:r>
    </w:p>
    <w:p w14:paraId="517A825D">
      <w:pPr>
        <w:pStyle w:val="61"/>
        <w:ind w:firstLine="420"/>
        <w:rPr>
          <w:highlight w:val="none"/>
        </w:rPr>
      </w:pPr>
      <w:r>
        <w:rPr>
          <w:rFonts w:hint="eastAsia"/>
          <w:highlight w:val="none"/>
        </w:rPr>
        <w:t>AI:人工智能（Artificial Intelligence）</w:t>
      </w:r>
    </w:p>
    <w:p w14:paraId="03D4F90D">
      <w:pPr>
        <w:pStyle w:val="61"/>
        <w:ind w:firstLine="420"/>
        <w:rPr>
          <w:highlight w:val="none"/>
        </w:rPr>
      </w:pPr>
      <w:r>
        <w:rPr>
          <w:rFonts w:hint="eastAsia"/>
          <w:highlight w:val="none"/>
        </w:rPr>
        <w:t>AR:增强现实 (Augmented Reality)</w:t>
      </w:r>
    </w:p>
    <w:p w14:paraId="3EB50C5A">
      <w:pPr>
        <w:pStyle w:val="61"/>
        <w:ind w:firstLine="420"/>
        <w:rPr>
          <w:highlight w:val="none"/>
        </w:rPr>
      </w:pPr>
      <w:r>
        <w:rPr>
          <w:rFonts w:hint="eastAsia"/>
          <w:highlight w:val="none"/>
        </w:rPr>
        <w:t>5G:第五代移动通信技术（5th Generation Mobile Communication Technology)</w:t>
      </w:r>
    </w:p>
    <w:p w14:paraId="7E344F29">
      <w:pPr>
        <w:pStyle w:val="109"/>
        <w:spacing w:before="240" w:after="240"/>
        <w:rPr>
          <w:highlight w:val="none"/>
        </w:rPr>
      </w:pPr>
      <w:bookmarkStart w:id="46" w:name="_Toc175062078"/>
      <w:r>
        <w:rPr>
          <w:highlight w:val="none"/>
        </w:rPr>
        <w:t>基本要求</w:t>
      </w:r>
      <w:bookmarkEnd w:id="46"/>
    </w:p>
    <w:p w14:paraId="17CF071F">
      <w:pPr>
        <w:pStyle w:val="167"/>
        <w:rPr>
          <w:highlight w:val="none"/>
        </w:rPr>
      </w:pPr>
      <w:r>
        <w:rPr>
          <w:rFonts w:hint="eastAsia"/>
          <w:highlight w:val="none"/>
        </w:rPr>
        <w:t>液体化工品数字化仓库的数字化建设、运营和管理应满足WB/T 1118的规定。</w:t>
      </w:r>
    </w:p>
    <w:p w14:paraId="6F6ED6D3">
      <w:pPr>
        <w:pStyle w:val="167"/>
        <w:rPr>
          <w:highlight w:val="none"/>
        </w:rPr>
      </w:pPr>
      <w:r>
        <w:rPr>
          <w:rFonts w:hint="eastAsia"/>
          <w:highlight w:val="none"/>
        </w:rPr>
        <w:t>应配备数据采集设施设备、数据分析设施设备、数据存储服务器、网络设施等数据基础设施设备，以及装车设备、输送设施、消防监控设备、安防监控设备、计量设施设备、车辆道闸等数字化作业设施设备。</w:t>
      </w:r>
    </w:p>
    <w:p w14:paraId="6067481B">
      <w:pPr>
        <w:pStyle w:val="167"/>
        <w:rPr>
          <w:highlight w:val="none"/>
        </w:rPr>
      </w:pPr>
      <w:r>
        <w:rPr>
          <w:rFonts w:hint="eastAsia"/>
          <w:highlight w:val="none"/>
        </w:rPr>
        <w:t>应配备数字化仓库软件系统，支持不同设施设备接入协议、身份认证，并实现数据转发、存储、溯源等功能。</w:t>
      </w:r>
    </w:p>
    <w:p w14:paraId="1F6F4D23">
      <w:pPr>
        <w:pStyle w:val="167"/>
        <w:rPr>
          <w:highlight w:val="none"/>
        </w:rPr>
      </w:pPr>
      <w:r>
        <w:rPr>
          <w:rFonts w:hint="eastAsia"/>
          <w:highlight w:val="none"/>
        </w:rPr>
        <w:t>应采用物联网、云计算、5G、大数据、AI、AR等信息技术，构建应用场景。</w:t>
      </w:r>
    </w:p>
    <w:p w14:paraId="6A4B0397">
      <w:pPr>
        <w:pStyle w:val="109"/>
        <w:spacing w:before="240" w:after="240"/>
        <w:rPr>
          <w:highlight w:val="none"/>
        </w:rPr>
      </w:pPr>
      <w:bookmarkStart w:id="47" w:name="_Toc175062079"/>
      <w:r>
        <w:rPr>
          <w:highlight w:val="none"/>
        </w:rPr>
        <w:t>技术要求</w:t>
      </w:r>
      <w:bookmarkEnd w:id="47"/>
    </w:p>
    <w:p w14:paraId="78CAE46B">
      <w:pPr>
        <w:pStyle w:val="110"/>
        <w:spacing w:before="120" w:after="120"/>
        <w:rPr>
          <w:highlight w:val="none"/>
        </w:rPr>
      </w:pPr>
      <w:r>
        <w:rPr>
          <w:highlight w:val="none"/>
        </w:rPr>
        <w:t>数据基础设施设备</w:t>
      </w:r>
    </w:p>
    <w:p w14:paraId="4D430D87">
      <w:pPr>
        <w:pStyle w:val="170"/>
        <w:rPr>
          <w:highlight w:val="none"/>
        </w:rPr>
      </w:pPr>
      <w:r>
        <w:rPr>
          <w:rFonts w:hint="eastAsia"/>
          <w:highlight w:val="none"/>
        </w:rPr>
        <w:t>应具备数据通讯能力。</w:t>
      </w:r>
    </w:p>
    <w:p w14:paraId="199811AE">
      <w:pPr>
        <w:pStyle w:val="170"/>
        <w:rPr>
          <w:highlight w:val="none"/>
        </w:rPr>
      </w:pPr>
      <w:r>
        <w:rPr>
          <w:rFonts w:hint="eastAsia"/>
          <w:highlight w:val="none"/>
        </w:rPr>
        <w:t>控制设备应符合相关产品的技术质量要求和使用场所的防爆等级要求。</w:t>
      </w:r>
    </w:p>
    <w:p w14:paraId="7D659E5F">
      <w:pPr>
        <w:pStyle w:val="170"/>
        <w:rPr>
          <w:highlight w:val="none"/>
        </w:rPr>
      </w:pPr>
      <w:r>
        <w:rPr>
          <w:rFonts w:hint="eastAsia"/>
          <w:highlight w:val="none"/>
        </w:rPr>
        <w:t>传感设备选型符合AQ 3035—2010第4章至第6章的要求。</w:t>
      </w:r>
    </w:p>
    <w:p w14:paraId="0F779750">
      <w:pPr>
        <w:pStyle w:val="170"/>
        <w:rPr>
          <w:highlight w:val="none"/>
        </w:rPr>
      </w:pPr>
      <w:r>
        <w:rPr>
          <w:rFonts w:hint="eastAsia"/>
          <w:highlight w:val="none"/>
        </w:rPr>
        <w:t>装车设备应满足以下要求：</w:t>
      </w:r>
    </w:p>
    <w:p w14:paraId="1B29C22B">
      <w:pPr>
        <w:pStyle w:val="137"/>
        <w:rPr>
          <w:highlight w:val="none"/>
        </w:rPr>
      </w:pPr>
      <w:r>
        <w:rPr>
          <w:rFonts w:hint="eastAsia"/>
          <w:highlight w:val="none"/>
        </w:rPr>
        <w:t>具备定量罐装控制功能；</w:t>
      </w:r>
    </w:p>
    <w:p w14:paraId="215D2C6E">
      <w:pPr>
        <w:pStyle w:val="137"/>
        <w:rPr>
          <w:highlight w:val="none"/>
        </w:rPr>
      </w:pPr>
      <w:r>
        <w:rPr>
          <w:rFonts w:hint="eastAsia"/>
          <w:highlight w:val="none"/>
        </w:rPr>
        <w:t>具备静电及溢油异常声光报警功能；</w:t>
      </w:r>
    </w:p>
    <w:p w14:paraId="0906C0EF">
      <w:pPr>
        <w:pStyle w:val="137"/>
        <w:rPr>
          <w:highlight w:val="none"/>
        </w:rPr>
      </w:pPr>
      <w:r>
        <w:rPr>
          <w:rFonts w:hint="eastAsia"/>
          <w:highlight w:val="none"/>
        </w:rPr>
        <w:t>具备安全联锁功能；</w:t>
      </w:r>
    </w:p>
    <w:p w14:paraId="01E4E516">
      <w:pPr>
        <w:pStyle w:val="137"/>
        <w:rPr>
          <w:highlight w:val="none"/>
        </w:rPr>
      </w:pPr>
      <w:r>
        <w:rPr>
          <w:rFonts w:hint="eastAsia"/>
          <w:highlight w:val="none"/>
        </w:rPr>
        <w:t>具备动态监控功能及历史查询功能；</w:t>
      </w:r>
    </w:p>
    <w:p w14:paraId="06EC550A">
      <w:pPr>
        <w:pStyle w:val="137"/>
        <w:rPr>
          <w:highlight w:val="none"/>
        </w:rPr>
      </w:pPr>
      <w:r>
        <w:rPr>
          <w:rFonts w:hint="eastAsia"/>
          <w:highlight w:val="none"/>
        </w:rPr>
        <w:t>支持装车数据传输至数字化仓库软件系统。</w:t>
      </w:r>
    </w:p>
    <w:p w14:paraId="691E57B8">
      <w:pPr>
        <w:pStyle w:val="170"/>
        <w:rPr>
          <w:highlight w:val="none"/>
        </w:rPr>
      </w:pPr>
      <w:r>
        <w:rPr>
          <w:rFonts w:hint="eastAsia"/>
          <w:highlight w:val="none"/>
        </w:rPr>
        <w:t>输送设施应满足以下要求：</w:t>
      </w:r>
    </w:p>
    <w:p w14:paraId="42D4B257">
      <w:pPr>
        <w:pStyle w:val="137"/>
        <w:rPr>
          <w:highlight w:val="none"/>
        </w:rPr>
      </w:pPr>
      <w:r>
        <w:rPr>
          <w:rFonts w:hint="eastAsia"/>
          <w:highlight w:val="none"/>
        </w:rPr>
        <w:t>具备输送泵电压、电流监测及预警功能；</w:t>
      </w:r>
    </w:p>
    <w:p w14:paraId="0ADAD70D">
      <w:pPr>
        <w:pStyle w:val="137"/>
        <w:rPr>
          <w:highlight w:val="none"/>
        </w:rPr>
      </w:pPr>
      <w:r>
        <w:rPr>
          <w:rFonts w:hint="eastAsia"/>
          <w:highlight w:val="none"/>
        </w:rPr>
        <w:t>具备与装车设施联锁功能；</w:t>
      </w:r>
    </w:p>
    <w:p w14:paraId="7E4E0397">
      <w:pPr>
        <w:pStyle w:val="137"/>
        <w:rPr>
          <w:highlight w:val="none"/>
        </w:rPr>
      </w:pPr>
      <w:r>
        <w:rPr>
          <w:rFonts w:hint="eastAsia"/>
          <w:highlight w:val="none"/>
        </w:rPr>
        <w:t>支持数据传输至数字化仓库软件系统。</w:t>
      </w:r>
    </w:p>
    <w:p w14:paraId="3A4D9159">
      <w:pPr>
        <w:pStyle w:val="170"/>
        <w:rPr>
          <w:highlight w:val="none"/>
        </w:rPr>
      </w:pPr>
      <w:r>
        <w:rPr>
          <w:rFonts w:hint="eastAsia"/>
          <w:highlight w:val="none"/>
        </w:rPr>
        <w:t>消防、安防监控设备应满足以下要求：</w:t>
      </w:r>
    </w:p>
    <w:p w14:paraId="07E056A0">
      <w:pPr>
        <w:pStyle w:val="137"/>
        <w:rPr>
          <w:highlight w:val="none"/>
        </w:rPr>
      </w:pPr>
      <w:r>
        <w:rPr>
          <w:rFonts w:hint="eastAsia"/>
          <w:highlight w:val="none"/>
        </w:rPr>
        <w:t>具备在光线不足条件下拍摄清晰影像的功能；</w:t>
      </w:r>
    </w:p>
    <w:p w14:paraId="0D4F4BE1">
      <w:pPr>
        <w:pStyle w:val="137"/>
        <w:rPr>
          <w:highlight w:val="none"/>
        </w:rPr>
      </w:pPr>
      <w:r>
        <w:rPr>
          <w:rFonts w:hint="eastAsia"/>
          <w:highlight w:val="none"/>
        </w:rPr>
        <w:t>能识别安全隐患，并具备预警功能；</w:t>
      </w:r>
    </w:p>
    <w:p w14:paraId="37722CA6">
      <w:pPr>
        <w:pStyle w:val="137"/>
        <w:rPr>
          <w:highlight w:val="none"/>
        </w:rPr>
      </w:pPr>
      <w:r>
        <w:rPr>
          <w:rFonts w:hint="eastAsia"/>
          <w:highlight w:val="none"/>
        </w:rPr>
        <w:t>安装设置符合AQ 3036—2010 第10章的规定；</w:t>
      </w:r>
    </w:p>
    <w:p w14:paraId="11DA64A2">
      <w:pPr>
        <w:pStyle w:val="137"/>
        <w:rPr>
          <w:highlight w:val="none"/>
        </w:rPr>
      </w:pPr>
      <w:r>
        <w:rPr>
          <w:rFonts w:hint="eastAsia"/>
          <w:highlight w:val="none"/>
        </w:rPr>
        <w:t>设置火灾监控设备，并关联火灾自动报警系统，火灾自动报警系统应符合GB 50116及AQ 3036—2010 第9章的规定。</w:t>
      </w:r>
    </w:p>
    <w:p w14:paraId="1AC317F6">
      <w:pPr>
        <w:pStyle w:val="170"/>
        <w:rPr>
          <w:highlight w:val="none"/>
        </w:rPr>
      </w:pPr>
      <w:r>
        <w:rPr>
          <w:rFonts w:hint="eastAsia"/>
          <w:highlight w:val="none"/>
        </w:rPr>
        <w:t>计量设施设备应满足以下要求：</w:t>
      </w:r>
    </w:p>
    <w:p w14:paraId="6694CF1C">
      <w:pPr>
        <w:pStyle w:val="137"/>
        <w:rPr>
          <w:highlight w:val="none"/>
        </w:rPr>
      </w:pPr>
      <w:r>
        <w:rPr>
          <w:rFonts w:hint="eastAsia"/>
          <w:highlight w:val="none"/>
        </w:rPr>
        <w:t>通过管道输送液体化工品出库时，应在管道上配备数字化计量器具，并将采集的数据传输至数字化仓库软件系统；</w:t>
      </w:r>
    </w:p>
    <w:p w14:paraId="4BF7DEB2">
      <w:pPr>
        <w:pStyle w:val="137"/>
        <w:rPr>
          <w:highlight w:val="none"/>
        </w:rPr>
      </w:pPr>
      <w:r>
        <w:rPr>
          <w:rFonts w:hint="eastAsia"/>
          <w:highlight w:val="none"/>
        </w:rPr>
        <w:t>通过车运液体化工品出入库时，应通过数字汽车衡将计量数据传输至数字化仓库软件系统；</w:t>
      </w:r>
    </w:p>
    <w:p w14:paraId="1C317439">
      <w:pPr>
        <w:pStyle w:val="137"/>
        <w:rPr>
          <w:highlight w:val="none"/>
        </w:rPr>
      </w:pPr>
      <w:r>
        <w:rPr>
          <w:rFonts w:hint="eastAsia"/>
          <w:highlight w:val="none"/>
        </w:rPr>
        <w:t>在立式金属罐中，雷达液位仪、温度传感器、压力传感器等数字化测量设备能将在库液位高度、温度、压力数据传输至数字化仓库软件系统。</w:t>
      </w:r>
    </w:p>
    <w:p w14:paraId="370E0A3A">
      <w:pPr>
        <w:pStyle w:val="170"/>
        <w:rPr>
          <w:highlight w:val="none"/>
        </w:rPr>
      </w:pPr>
      <w:r>
        <w:rPr>
          <w:rFonts w:hint="eastAsia"/>
          <w:highlight w:val="none"/>
        </w:rPr>
        <w:t>车辆道闸应满足以下要求：</w:t>
      </w:r>
    </w:p>
    <w:p w14:paraId="2D4D6E80">
      <w:pPr>
        <w:pStyle w:val="137"/>
        <w:rPr>
          <w:highlight w:val="none"/>
        </w:rPr>
      </w:pPr>
      <w:r>
        <w:rPr>
          <w:rFonts w:hint="eastAsia"/>
          <w:highlight w:val="none"/>
        </w:rPr>
        <w:t>具备根据预约业务信息准入或放行车辆的功能；</w:t>
      </w:r>
    </w:p>
    <w:p w14:paraId="3164DA61">
      <w:pPr>
        <w:pStyle w:val="137"/>
        <w:rPr>
          <w:highlight w:val="none"/>
        </w:rPr>
      </w:pPr>
      <w:r>
        <w:rPr>
          <w:rFonts w:hint="eastAsia"/>
          <w:highlight w:val="none"/>
        </w:rPr>
        <w:t>能识别车辆号码、进出时间，并将数据传输至数字化仓库软件系统。</w:t>
      </w:r>
    </w:p>
    <w:p w14:paraId="60D2AD50">
      <w:pPr>
        <w:pStyle w:val="110"/>
        <w:spacing w:before="120" w:after="120"/>
        <w:rPr>
          <w:highlight w:val="none"/>
        </w:rPr>
      </w:pPr>
      <w:r>
        <w:rPr>
          <w:rFonts w:hint="eastAsia"/>
          <w:highlight w:val="none"/>
        </w:rPr>
        <w:t>数字化仓库软件系统</w:t>
      </w:r>
    </w:p>
    <w:p w14:paraId="5690139C">
      <w:pPr>
        <w:pStyle w:val="70"/>
        <w:spacing w:before="120" w:after="120"/>
        <w:rPr>
          <w:highlight w:val="none"/>
        </w:rPr>
      </w:pPr>
      <w:r>
        <w:rPr>
          <w:highlight w:val="none"/>
        </w:rPr>
        <w:t>基本功能</w:t>
      </w:r>
    </w:p>
    <w:p w14:paraId="2E5E0E2F">
      <w:pPr>
        <w:pStyle w:val="169"/>
        <w:rPr>
          <w:highlight w:val="none"/>
        </w:rPr>
      </w:pPr>
      <w:r>
        <w:rPr>
          <w:rFonts w:hint="eastAsia"/>
          <w:highlight w:val="none"/>
        </w:rPr>
        <w:t>应具备对接海关系统、海事系统、运输系统、环保系统、消防系统等外部系统的功能。</w:t>
      </w:r>
    </w:p>
    <w:p w14:paraId="071A3F15">
      <w:pPr>
        <w:pStyle w:val="169"/>
        <w:rPr>
          <w:highlight w:val="none"/>
        </w:rPr>
      </w:pPr>
      <w:r>
        <w:rPr>
          <w:rFonts w:hint="eastAsia"/>
          <w:highlight w:val="none"/>
        </w:rPr>
        <w:t>应具备客户管理、出入库管理、库存管理、盘点管理、库区管理、费用结算管理，设备管理、作业流程优化、设备数据采集、软件系统数据对接、储位和预警功能。</w:t>
      </w:r>
    </w:p>
    <w:p w14:paraId="08BB9D85">
      <w:pPr>
        <w:pStyle w:val="169"/>
        <w:rPr>
          <w:highlight w:val="none"/>
        </w:rPr>
      </w:pPr>
      <w:r>
        <w:rPr>
          <w:rFonts w:hint="eastAsia"/>
          <w:highlight w:val="none"/>
        </w:rPr>
        <w:t>应具有日志管理功能。</w:t>
      </w:r>
    </w:p>
    <w:p w14:paraId="74953E69">
      <w:pPr>
        <w:pStyle w:val="169"/>
        <w:rPr>
          <w:highlight w:val="none"/>
        </w:rPr>
      </w:pPr>
      <w:r>
        <w:rPr>
          <w:rFonts w:hint="eastAsia"/>
          <w:highlight w:val="none"/>
        </w:rPr>
        <w:t>应与液位等感知设备关联并支持实时监测。监测功能包括以下内容：</w:t>
      </w:r>
    </w:p>
    <w:p w14:paraId="4DDB6E29">
      <w:pPr>
        <w:pStyle w:val="137"/>
        <w:rPr>
          <w:highlight w:val="none"/>
        </w:rPr>
      </w:pPr>
      <w:r>
        <w:rPr>
          <w:rFonts w:hint="eastAsia"/>
          <w:highlight w:val="none"/>
        </w:rPr>
        <w:t>分析液位传感器采集到的储罐内液位数据，并以图形化的方式反应上述数据持续变化情况；</w:t>
      </w:r>
    </w:p>
    <w:p w14:paraId="6534B567">
      <w:pPr>
        <w:pStyle w:val="137"/>
        <w:rPr>
          <w:highlight w:val="none"/>
        </w:rPr>
      </w:pPr>
      <w:r>
        <w:rPr>
          <w:rFonts w:hint="eastAsia"/>
          <w:highlight w:val="none"/>
        </w:rPr>
        <w:t>当液位接近或达到预设阈值时实现超标预警或报警。</w:t>
      </w:r>
    </w:p>
    <w:p w14:paraId="0D1DA03D">
      <w:pPr>
        <w:pStyle w:val="169"/>
        <w:rPr>
          <w:highlight w:val="none"/>
        </w:rPr>
      </w:pPr>
      <w:r>
        <w:rPr>
          <w:rFonts w:hint="eastAsia"/>
          <w:highlight w:val="none"/>
        </w:rPr>
        <w:t>应能与温度感知设备关联并支持温度监测。温度监测功能包括以下内容：</w:t>
      </w:r>
    </w:p>
    <w:p w14:paraId="3E61F9EA">
      <w:pPr>
        <w:pStyle w:val="137"/>
        <w:rPr>
          <w:highlight w:val="none"/>
        </w:rPr>
      </w:pPr>
      <w:r>
        <w:rPr>
          <w:rFonts w:hint="eastAsia"/>
          <w:highlight w:val="none"/>
        </w:rPr>
        <w:t>分析温度传感器采集到储罐内温度数据，并以图形化的方式反应温度的持续变化情况；</w:t>
      </w:r>
    </w:p>
    <w:p w14:paraId="7089EC54">
      <w:pPr>
        <w:pStyle w:val="137"/>
        <w:rPr>
          <w:highlight w:val="none"/>
        </w:rPr>
      </w:pPr>
      <w:r>
        <w:rPr>
          <w:rFonts w:hint="eastAsia"/>
          <w:highlight w:val="none"/>
        </w:rPr>
        <w:t>当温度达到预设阈值时，能显示温度并自动报警；</w:t>
      </w:r>
    </w:p>
    <w:p w14:paraId="228AFD0F">
      <w:pPr>
        <w:pStyle w:val="137"/>
        <w:rPr>
          <w:highlight w:val="none"/>
        </w:rPr>
      </w:pPr>
      <w:r>
        <w:rPr>
          <w:rFonts w:hint="eastAsia"/>
          <w:highlight w:val="none"/>
        </w:rPr>
        <w:t>对特定储罐进行温升趋势分析，使温度保持在控制范围内。</w:t>
      </w:r>
    </w:p>
    <w:p w14:paraId="735C51F9">
      <w:pPr>
        <w:pStyle w:val="169"/>
        <w:rPr>
          <w:highlight w:val="none"/>
        </w:rPr>
      </w:pPr>
      <w:r>
        <w:rPr>
          <w:rFonts w:hint="eastAsia"/>
          <w:highlight w:val="none"/>
        </w:rPr>
        <w:t>应能与压力感知设备关联并支持压力监测。压力监测功能包括以下内容：</w:t>
      </w:r>
    </w:p>
    <w:p w14:paraId="16DA2381">
      <w:pPr>
        <w:pStyle w:val="137"/>
        <w:rPr>
          <w:highlight w:val="none"/>
        </w:rPr>
      </w:pPr>
      <w:r>
        <w:rPr>
          <w:rFonts w:hint="eastAsia"/>
          <w:highlight w:val="none"/>
        </w:rPr>
        <w:t>分析压力传感器采集到的库内压力数据，并以图形化的方式反应温度的持续变化情况；</w:t>
      </w:r>
    </w:p>
    <w:p w14:paraId="2D5E1853">
      <w:pPr>
        <w:pStyle w:val="137"/>
        <w:rPr>
          <w:highlight w:val="none"/>
        </w:rPr>
      </w:pPr>
      <w:r>
        <w:rPr>
          <w:rFonts w:hint="eastAsia"/>
          <w:highlight w:val="none"/>
        </w:rPr>
        <w:t>当压力达到预设阈值上限时，能显示压力并自动报警；</w:t>
      </w:r>
    </w:p>
    <w:p w14:paraId="5B8C386C">
      <w:pPr>
        <w:pStyle w:val="137"/>
        <w:rPr>
          <w:highlight w:val="none"/>
        </w:rPr>
      </w:pPr>
      <w:r>
        <w:rPr>
          <w:rFonts w:hint="eastAsia"/>
          <w:highlight w:val="none"/>
        </w:rPr>
        <w:t>对特定区域进行压力趋势分析，使温度保持在控制范围内。</w:t>
      </w:r>
    </w:p>
    <w:p w14:paraId="1655C4F9">
      <w:pPr>
        <w:pStyle w:val="169"/>
        <w:rPr>
          <w:highlight w:val="none"/>
        </w:rPr>
      </w:pPr>
      <w:r>
        <w:rPr>
          <w:rFonts w:hint="eastAsia"/>
          <w:highlight w:val="none"/>
        </w:rPr>
        <w:t>应能与配电感知设备关联并支持输送泵电压、电流监测。电压、电流监测功能包括以下内容：</w:t>
      </w:r>
    </w:p>
    <w:p w14:paraId="34854141">
      <w:pPr>
        <w:pStyle w:val="137"/>
        <w:rPr>
          <w:highlight w:val="none"/>
        </w:rPr>
      </w:pPr>
      <w:r>
        <w:rPr>
          <w:rFonts w:hint="eastAsia"/>
          <w:highlight w:val="none"/>
        </w:rPr>
        <w:t>电压、电流传感器采集到输送泵的电压、电流数据，并以图形化的方式反应电压、电流的持续变化情况；</w:t>
      </w:r>
    </w:p>
    <w:p w14:paraId="31A70240">
      <w:pPr>
        <w:pStyle w:val="137"/>
        <w:rPr>
          <w:highlight w:val="none"/>
        </w:rPr>
      </w:pPr>
      <w:r>
        <w:rPr>
          <w:rFonts w:hint="eastAsia"/>
          <w:highlight w:val="none"/>
        </w:rPr>
        <w:t>当电压、电流达到预设阈值上限时，能显示电压、电流并自动报警。</w:t>
      </w:r>
    </w:p>
    <w:p w14:paraId="472EDECF">
      <w:pPr>
        <w:pStyle w:val="169"/>
        <w:rPr>
          <w:highlight w:val="none"/>
        </w:rPr>
      </w:pPr>
      <w:r>
        <w:rPr>
          <w:rFonts w:hint="eastAsia"/>
          <w:highlight w:val="none"/>
        </w:rPr>
        <w:t>应能与气体感知设备关联并支持气体监测。气体监测功能包括以下内容：</w:t>
      </w:r>
    </w:p>
    <w:p w14:paraId="61E868BD">
      <w:pPr>
        <w:pStyle w:val="137"/>
        <w:rPr>
          <w:highlight w:val="none"/>
        </w:rPr>
      </w:pPr>
      <w:r>
        <w:rPr>
          <w:rFonts w:hint="eastAsia"/>
          <w:highlight w:val="none"/>
        </w:rPr>
        <w:t>分析气体传感器采集到的库内气体浓度数据，并以图形化的方式反应气体浓度的持续变化情况，气体传感器采集数据包括甲烷、有毒气体等浓度；</w:t>
      </w:r>
    </w:p>
    <w:p w14:paraId="455A2CC5">
      <w:pPr>
        <w:pStyle w:val="137"/>
        <w:rPr>
          <w:highlight w:val="none"/>
        </w:rPr>
      </w:pPr>
      <w:r>
        <w:rPr>
          <w:rFonts w:hint="eastAsia"/>
          <w:highlight w:val="none"/>
        </w:rPr>
        <w:t>当气体浓度达到预设阈值时实现自动报警。</w:t>
      </w:r>
    </w:p>
    <w:p w14:paraId="4A778986">
      <w:pPr>
        <w:pStyle w:val="169"/>
        <w:rPr>
          <w:highlight w:val="none"/>
        </w:rPr>
      </w:pPr>
      <w:r>
        <w:rPr>
          <w:rFonts w:hint="eastAsia"/>
          <w:highlight w:val="none"/>
        </w:rPr>
        <w:t>应能与明火感知设备关联并支持明火监测。明火监测功能包括以下内容：</w:t>
      </w:r>
    </w:p>
    <w:p w14:paraId="4B88FA6A">
      <w:pPr>
        <w:pStyle w:val="137"/>
        <w:rPr>
          <w:highlight w:val="none"/>
        </w:rPr>
      </w:pPr>
      <w:r>
        <w:rPr>
          <w:rFonts w:hint="eastAsia"/>
          <w:highlight w:val="none"/>
        </w:rPr>
        <w:t>实现仓库内对明火的探查；</w:t>
      </w:r>
    </w:p>
    <w:p w14:paraId="0CA0CEF9">
      <w:pPr>
        <w:pStyle w:val="137"/>
        <w:rPr>
          <w:highlight w:val="none"/>
        </w:rPr>
      </w:pPr>
      <w:r>
        <w:rPr>
          <w:rFonts w:hint="eastAsia"/>
          <w:highlight w:val="none"/>
        </w:rPr>
        <w:t>当监测到明火时实现自动报警，并显示报警地点；</w:t>
      </w:r>
    </w:p>
    <w:p w14:paraId="777A401A">
      <w:pPr>
        <w:pStyle w:val="137"/>
        <w:rPr>
          <w:highlight w:val="none"/>
        </w:rPr>
      </w:pPr>
      <w:r>
        <w:rPr>
          <w:rFonts w:hint="eastAsia"/>
          <w:highlight w:val="none"/>
        </w:rPr>
        <w:t>当有人按下报警按钮时能实现自动报警，并显示报警地点。</w:t>
      </w:r>
    </w:p>
    <w:p w14:paraId="3324AEB0">
      <w:pPr>
        <w:pStyle w:val="169"/>
        <w:rPr>
          <w:highlight w:val="none"/>
        </w:rPr>
      </w:pPr>
      <w:r>
        <w:rPr>
          <w:rFonts w:hint="eastAsia"/>
          <w:highlight w:val="none"/>
        </w:rPr>
        <w:t>应具备管理和设置功能。包括：</w:t>
      </w:r>
    </w:p>
    <w:p w14:paraId="77CE1DB3">
      <w:pPr>
        <w:pStyle w:val="137"/>
        <w:rPr>
          <w:highlight w:val="none"/>
        </w:rPr>
      </w:pPr>
      <w:r>
        <w:rPr>
          <w:rFonts w:hint="eastAsia"/>
          <w:highlight w:val="none"/>
        </w:rPr>
        <w:t>系统参数设置应支持个别或成批修改；</w:t>
      </w:r>
    </w:p>
    <w:p w14:paraId="14CCF093">
      <w:pPr>
        <w:pStyle w:val="137"/>
        <w:rPr>
          <w:highlight w:val="none"/>
        </w:rPr>
      </w:pPr>
      <w:r>
        <w:rPr>
          <w:rFonts w:hint="eastAsia"/>
          <w:highlight w:val="none"/>
        </w:rPr>
        <w:t>应支持根据时间段设定不同数值，在不同层次上优化系统设置。</w:t>
      </w:r>
    </w:p>
    <w:p w14:paraId="5B1BC184">
      <w:pPr>
        <w:pStyle w:val="70"/>
        <w:spacing w:before="120" w:after="120"/>
        <w:rPr>
          <w:highlight w:val="none"/>
        </w:rPr>
      </w:pPr>
      <w:r>
        <w:rPr>
          <w:rFonts w:hint="eastAsia"/>
          <w:highlight w:val="none"/>
        </w:rPr>
        <w:t>设备管理功能</w:t>
      </w:r>
    </w:p>
    <w:p w14:paraId="49EA6D9B">
      <w:pPr>
        <w:pStyle w:val="169"/>
        <w:rPr>
          <w:highlight w:val="none"/>
        </w:rPr>
      </w:pPr>
      <w:r>
        <w:rPr>
          <w:rFonts w:hint="eastAsia"/>
          <w:highlight w:val="none"/>
        </w:rPr>
        <w:t>应支持多种联网设备身份标识方案。</w:t>
      </w:r>
    </w:p>
    <w:p w14:paraId="12EB7DBF">
      <w:pPr>
        <w:pStyle w:val="169"/>
        <w:rPr>
          <w:highlight w:val="none"/>
        </w:rPr>
      </w:pPr>
      <w:r>
        <w:rPr>
          <w:rFonts w:hint="eastAsia"/>
          <w:highlight w:val="none"/>
        </w:rPr>
        <w:t>应支持常见的物联网协议。</w:t>
      </w:r>
    </w:p>
    <w:p w14:paraId="1684582C">
      <w:pPr>
        <w:pStyle w:val="169"/>
        <w:rPr>
          <w:highlight w:val="none"/>
        </w:rPr>
      </w:pPr>
      <w:r>
        <w:rPr>
          <w:rFonts w:hint="eastAsia"/>
          <w:highlight w:val="none"/>
        </w:rPr>
        <w:t>应支持多种联网设备的接入。</w:t>
      </w:r>
    </w:p>
    <w:p w14:paraId="17C05D6B">
      <w:pPr>
        <w:pStyle w:val="169"/>
        <w:rPr>
          <w:highlight w:val="none"/>
        </w:rPr>
      </w:pPr>
      <w:r>
        <w:rPr>
          <w:rFonts w:hint="eastAsia"/>
          <w:highlight w:val="none"/>
        </w:rPr>
        <w:t>应能获取设备采集的原始数据，并支持数据转发、存储及溯源。</w:t>
      </w:r>
    </w:p>
    <w:p w14:paraId="60DBD038">
      <w:pPr>
        <w:pStyle w:val="169"/>
        <w:rPr>
          <w:highlight w:val="none"/>
        </w:rPr>
      </w:pPr>
      <w:r>
        <w:rPr>
          <w:rFonts w:hint="eastAsia"/>
          <w:highlight w:val="none"/>
        </w:rPr>
        <w:t>应能控制联网设备启停。</w:t>
      </w:r>
    </w:p>
    <w:p w14:paraId="2EA58F07">
      <w:pPr>
        <w:pStyle w:val="70"/>
        <w:spacing w:before="120" w:after="120"/>
        <w:rPr>
          <w:highlight w:val="none"/>
        </w:rPr>
      </w:pPr>
      <w:r>
        <w:rPr>
          <w:rFonts w:hint="eastAsia"/>
          <w:highlight w:val="none"/>
        </w:rPr>
        <w:t>提货预约功能</w:t>
      </w:r>
    </w:p>
    <w:p w14:paraId="49A3137B">
      <w:pPr>
        <w:pStyle w:val="169"/>
        <w:rPr>
          <w:highlight w:val="none"/>
        </w:rPr>
      </w:pPr>
      <w:r>
        <w:rPr>
          <w:rFonts w:hint="eastAsia"/>
          <w:highlight w:val="none"/>
        </w:rPr>
        <w:t>应根据作业类型进行入库、出库等分类。</w:t>
      </w:r>
    </w:p>
    <w:p w14:paraId="73EC5F77">
      <w:pPr>
        <w:pStyle w:val="169"/>
        <w:rPr>
          <w:highlight w:val="none"/>
        </w:rPr>
      </w:pPr>
      <w:r>
        <w:rPr>
          <w:rFonts w:hint="eastAsia"/>
          <w:highlight w:val="none"/>
        </w:rPr>
        <w:t>应实现互联网提货预约、自动取单功能。</w:t>
      </w:r>
    </w:p>
    <w:p w14:paraId="7FCAE547">
      <w:pPr>
        <w:pStyle w:val="169"/>
        <w:rPr>
          <w:highlight w:val="none"/>
        </w:rPr>
      </w:pPr>
      <w:r>
        <w:rPr>
          <w:rFonts w:hint="eastAsia"/>
          <w:highlight w:val="none"/>
        </w:rPr>
        <w:t>应具备车辆排队叫号功能。</w:t>
      </w:r>
    </w:p>
    <w:p w14:paraId="33B71B0B">
      <w:pPr>
        <w:pStyle w:val="70"/>
        <w:spacing w:before="120" w:after="120"/>
        <w:rPr>
          <w:highlight w:val="none"/>
        </w:rPr>
      </w:pPr>
      <w:r>
        <w:rPr>
          <w:rFonts w:hint="eastAsia"/>
          <w:highlight w:val="none"/>
        </w:rPr>
        <w:t>储位功能</w:t>
      </w:r>
    </w:p>
    <w:p w14:paraId="7D78FB83">
      <w:pPr>
        <w:pStyle w:val="169"/>
        <w:rPr>
          <w:highlight w:val="none"/>
        </w:rPr>
      </w:pPr>
      <w:r>
        <w:rPr>
          <w:rFonts w:hint="eastAsia"/>
          <w:highlight w:val="none"/>
        </w:rPr>
        <w:t>应能通过感知传感设备采集液位、温度数据，计算质量。</w:t>
      </w:r>
    </w:p>
    <w:p w14:paraId="19DE89CB">
      <w:pPr>
        <w:pStyle w:val="169"/>
        <w:rPr>
          <w:highlight w:val="none"/>
        </w:rPr>
      </w:pPr>
      <w:r>
        <w:rPr>
          <w:rFonts w:hint="eastAsia"/>
          <w:highlight w:val="none"/>
        </w:rPr>
        <w:t>应能将仓库储位转化成以图形化形式呈现的模型。</w:t>
      </w:r>
    </w:p>
    <w:p w14:paraId="07C95A42">
      <w:pPr>
        <w:pStyle w:val="169"/>
        <w:rPr>
          <w:highlight w:val="none"/>
        </w:rPr>
      </w:pPr>
      <w:r>
        <w:rPr>
          <w:rFonts w:hint="eastAsia"/>
          <w:highlight w:val="none"/>
        </w:rPr>
        <w:t>应能在数字显示屏上展示对应储位存放的化工品种类、质量数据。</w:t>
      </w:r>
    </w:p>
    <w:p w14:paraId="575B3763">
      <w:pPr>
        <w:pStyle w:val="169"/>
        <w:rPr>
          <w:highlight w:val="none"/>
        </w:rPr>
      </w:pPr>
      <w:r>
        <w:rPr>
          <w:rFonts w:hint="eastAsia"/>
          <w:highlight w:val="none"/>
        </w:rPr>
        <w:t>应记录数字化仓库储位的日均出库和入库质量，并与储位模型进行比对。</w:t>
      </w:r>
    </w:p>
    <w:p w14:paraId="37B4E0E3">
      <w:pPr>
        <w:pStyle w:val="70"/>
        <w:spacing w:before="120" w:after="120"/>
        <w:rPr>
          <w:highlight w:val="none"/>
        </w:rPr>
      </w:pPr>
      <w:r>
        <w:rPr>
          <w:rFonts w:hint="eastAsia"/>
          <w:highlight w:val="none"/>
        </w:rPr>
        <w:t>安全管理功能</w:t>
      </w:r>
    </w:p>
    <w:p w14:paraId="14844573">
      <w:pPr>
        <w:pStyle w:val="61"/>
        <w:ind w:firstLine="420"/>
        <w:rPr>
          <w:highlight w:val="none"/>
        </w:rPr>
      </w:pPr>
      <w:r>
        <w:rPr>
          <w:rFonts w:hint="eastAsia"/>
          <w:highlight w:val="none"/>
        </w:rPr>
        <w:t>系统应提供可设置的安全级别，限制操作员对系统功能模块和系统资源的访问，通过权限管理确保系统安全。包括：</w:t>
      </w:r>
    </w:p>
    <w:p w14:paraId="0CD169FE">
      <w:pPr>
        <w:pStyle w:val="137"/>
        <w:rPr>
          <w:highlight w:val="none"/>
        </w:rPr>
      </w:pPr>
      <w:r>
        <w:rPr>
          <w:rFonts w:hint="eastAsia"/>
          <w:highlight w:val="none"/>
        </w:rPr>
        <w:t>应实现对每个操作员的权限设置；</w:t>
      </w:r>
    </w:p>
    <w:p w14:paraId="6AF886B0">
      <w:pPr>
        <w:pStyle w:val="137"/>
        <w:rPr>
          <w:highlight w:val="none"/>
        </w:rPr>
      </w:pPr>
      <w:r>
        <w:rPr>
          <w:rFonts w:hint="eastAsia"/>
          <w:highlight w:val="none"/>
        </w:rPr>
        <w:t>系统应有不同的安全级别来限制操作员对系统功能模块的访问。</w:t>
      </w:r>
    </w:p>
    <w:p w14:paraId="607BCA02">
      <w:pPr>
        <w:pStyle w:val="109"/>
        <w:spacing w:before="240" w:after="240"/>
        <w:rPr>
          <w:highlight w:val="none"/>
        </w:rPr>
      </w:pPr>
      <w:bookmarkStart w:id="48" w:name="_Toc175062080"/>
      <w:r>
        <w:rPr>
          <w:highlight w:val="none"/>
        </w:rPr>
        <w:t>管理要求</w:t>
      </w:r>
      <w:bookmarkEnd w:id="48"/>
    </w:p>
    <w:p w14:paraId="40EF8BD5">
      <w:pPr>
        <w:pStyle w:val="110"/>
        <w:spacing w:before="120" w:after="120"/>
        <w:rPr>
          <w:highlight w:val="none"/>
        </w:rPr>
      </w:pPr>
      <w:r>
        <w:rPr>
          <w:highlight w:val="none"/>
        </w:rPr>
        <w:t>编码管理</w:t>
      </w:r>
    </w:p>
    <w:p w14:paraId="390A3A2D">
      <w:pPr>
        <w:pStyle w:val="61"/>
        <w:ind w:firstLine="420"/>
        <w:rPr>
          <w:highlight w:val="none"/>
        </w:rPr>
      </w:pPr>
      <w:r>
        <w:rPr>
          <w:rFonts w:hint="eastAsia"/>
          <w:highlight w:val="none"/>
        </w:rPr>
        <w:t>应对仓储区、仓库物、人员、设备等管理对象进行编码管理。</w:t>
      </w:r>
    </w:p>
    <w:p w14:paraId="2B216E66">
      <w:pPr>
        <w:pStyle w:val="110"/>
        <w:spacing w:before="120" w:after="120"/>
        <w:rPr>
          <w:highlight w:val="none"/>
        </w:rPr>
      </w:pPr>
      <w:r>
        <w:rPr>
          <w:highlight w:val="none"/>
        </w:rPr>
        <w:t>制度管理</w:t>
      </w:r>
    </w:p>
    <w:p w14:paraId="135161EA">
      <w:pPr>
        <w:pStyle w:val="170"/>
        <w:rPr>
          <w:highlight w:val="none"/>
        </w:rPr>
      </w:pPr>
      <w:r>
        <w:rPr>
          <w:rFonts w:hint="eastAsia"/>
          <w:highlight w:val="none"/>
        </w:rPr>
        <w:t>应制定数据管理制度。</w:t>
      </w:r>
    </w:p>
    <w:p w14:paraId="13E3FA27">
      <w:pPr>
        <w:pStyle w:val="170"/>
        <w:rPr>
          <w:highlight w:val="none"/>
        </w:rPr>
      </w:pPr>
      <w:r>
        <w:rPr>
          <w:rFonts w:hint="eastAsia"/>
          <w:highlight w:val="none"/>
        </w:rPr>
        <w:t>应制定网络安全管理及系统故障处理、系统恢复、应急预案及应急演练等制度。</w:t>
      </w:r>
    </w:p>
    <w:p w14:paraId="6D321CB4">
      <w:pPr>
        <w:pStyle w:val="170"/>
        <w:rPr>
          <w:highlight w:val="none"/>
        </w:rPr>
      </w:pPr>
      <w:r>
        <w:rPr>
          <w:rFonts w:hint="eastAsia"/>
          <w:highlight w:val="none"/>
        </w:rPr>
        <w:t>应制定仓库库区分类和位置编码管理制度。</w:t>
      </w:r>
    </w:p>
    <w:p w14:paraId="7DD3CAA9">
      <w:pPr>
        <w:pStyle w:val="170"/>
        <w:rPr>
          <w:highlight w:val="none"/>
        </w:rPr>
      </w:pPr>
      <w:r>
        <w:rPr>
          <w:rFonts w:hint="eastAsia"/>
          <w:highlight w:val="none"/>
        </w:rPr>
        <w:t>应制定仓库库区人员作业授权制度。</w:t>
      </w:r>
    </w:p>
    <w:p w14:paraId="292CD750">
      <w:pPr>
        <w:pStyle w:val="170"/>
        <w:rPr>
          <w:rFonts w:hint="eastAsia"/>
          <w:highlight w:val="none"/>
        </w:rPr>
      </w:pPr>
      <w:r>
        <w:rPr>
          <w:rFonts w:hint="eastAsia"/>
          <w:highlight w:val="none"/>
        </w:rPr>
        <w:t>应制定设备管理及运维管理制度。</w:t>
      </w:r>
    </w:p>
    <w:p w14:paraId="3F47F928">
      <w:pPr>
        <w:pStyle w:val="170"/>
        <w:rPr>
          <w:highlight w:val="none"/>
        </w:rPr>
      </w:pPr>
      <w:r>
        <w:rPr>
          <w:rFonts w:hint="eastAsia"/>
          <w:highlight w:val="none"/>
        </w:rPr>
        <w:t>应建立评估机制。</w:t>
      </w:r>
      <w:bookmarkStart w:id="52" w:name="_GoBack"/>
      <w:bookmarkEnd w:id="52"/>
    </w:p>
    <w:p w14:paraId="634774D0">
      <w:pPr>
        <w:pStyle w:val="110"/>
        <w:spacing w:before="120" w:after="120"/>
        <w:rPr>
          <w:highlight w:val="none"/>
        </w:rPr>
      </w:pPr>
      <w:r>
        <w:rPr>
          <w:highlight w:val="none"/>
        </w:rPr>
        <w:t>人员管理</w:t>
      </w:r>
    </w:p>
    <w:p w14:paraId="4F4803E7">
      <w:pPr>
        <w:pStyle w:val="170"/>
        <w:rPr>
          <w:rFonts w:hint="eastAsia"/>
          <w:highlight w:val="none"/>
        </w:rPr>
      </w:pPr>
      <w:r>
        <w:rPr>
          <w:rFonts w:hint="eastAsia"/>
          <w:highlight w:val="none"/>
        </w:rPr>
        <w:t>应配备仓储操作人员和运维人员，并明确人员的职责和权限。</w:t>
      </w:r>
    </w:p>
    <w:p w14:paraId="7744299B">
      <w:pPr>
        <w:pStyle w:val="170"/>
        <w:rPr>
          <w:rFonts w:hint="eastAsia"/>
          <w:highlight w:val="none"/>
        </w:rPr>
      </w:pPr>
      <w:r>
        <w:rPr>
          <w:rFonts w:hint="eastAsia"/>
          <w:highlight w:val="none"/>
        </w:rPr>
        <w:t>应定期</w:t>
      </w:r>
      <w:r>
        <w:rPr>
          <w:rFonts w:hint="eastAsia"/>
          <w:color w:val="000000" w:themeColor="text1"/>
          <w:highlight w:val="none"/>
          <w14:textFill>
            <w14:solidFill>
              <w14:schemeClr w14:val="tx1"/>
            </w14:solidFill>
          </w14:textFill>
        </w:rPr>
        <w:t>对人员进行数字化技能培训，包括对操作人员进行数字化设备操作</w:t>
      </w:r>
      <w:r>
        <w:rPr>
          <w:rFonts w:hint="eastAsia"/>
          <w:color w:val="000000" w:themeColor="text1"/>
          <w:highlight w:val="none"/>
          <w:lang w:val="en-US" w:eastAsia="zh-CN"/>
          <w14:textFill>
            <w14:solidFill>
              <w14:schemeClr w14:val="tx1"/>
            </w14:solidFill>
          </w14:textFill>
        </w:rPr>
        <w:t>以及</w:t>
      </w:r>
      <w:r>
        <w:rPr>
          <w:rFonts w:hint="eastAsia"/>
          <w:color w:val="000000" w:themeColor="text1"/>
          <w:highlight w:val="none"/>
          <w14:textFill>
            <w14:solidFill>
              <w14:schemeClr w14:val="tx1"/>
            </w14:solidFill>
          </w14:textFill>
        </w:rPr>
        <w:t>对运维人员进行作业设备和软件系统维护与保养的培训</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并</w:t>
      </w:r>
      <w:r>
        <w:rPr>
          <w:rFonts w:hint="eastAsia"/>
          <w:color w:val="000000" w:themeColor="text1"/>
          <w:highlight w:val="none"/>
          <w14:textFill>
            <w14:solidFill>
              <w14:schemeClr w14:val="tx1"/>
            </w14:solidFill>
          </w14:textFill>
        </w:rPr>
        <w:t>定期对接受培训</w:t>
      </w:r>
      <w:r>
        <w:rPr>
          <w:rFonts w:hint="eastAsia"/>
          <w:highlight w:val="none"/>
        </w:rPr>
        <w:t>人员的数字化技能水平进行考核。</w:t>
      </w:r>
    </w:p>
    <w:p w14:paraId="0174BEBF">
      <w:pPr>
        <w:pStyle w:val="110"/>
        <w:spacing w:before="120" w:after="120"/>
        <w:rPr>
          <w:highlight w:val="none"/>
        </w:rPr>
      </w:pPr>
      <w:r>
        <w:rPr>
          <w:highlight w:val="none"/>
        </w:rPr>
        <w:t>单证管理</w:t>
      </w:r>
    </w:p>
    <w:p w14:paraId="22DD14D7">
      <w:pPr>
        <w:pStyle w:val="170"/>
        <w:rPr>
          <w:highlight w:val="none"/>
        </w:rPr>
      </w:pPr>
      <w:r>
        <w:rPr>
          <w:rFonts w:hint="eastAsia"/>
          <w:highlight w:val="none"/>
        </w:rPr>
        <w:t>客户在数字化仓库软件系统录入的数据经过C</w:t>
      </w:r>
      <w:r>
        <w:rPr>
          <w:highlight w:val="none"/>
        </w:rPr>
        <w:t>A</w:t>
      </w:r>
      <w:r>
        <w:rPr>
          <w:rFonts w:hint="eastAsia"/>
          <w:highlight w:val="none"/>
        </w:rPr>
        <w:t>数字证书签名后与纸质凭证指令具有同等效力。同一指令，纸质凭证和电子指令只能使用其一。</w:t>
      </w:r>
    </w:p>
    <w:p w14:paraId="2CDE2D42">
      <w:pPr>
        <w:pStyle w:val="170"/>
        <w:rPr>
          <w:highlight w:val="none"/>
        </w:rPr>
      </w:pPr>
      <w:r>
        <w:rPr>
          <w:rFonts w:hint="eastAsia"/>
          <w:highlight w:val="none"/>
        </w:rPr>
        <w:t>电子凭证支持打印，打印出的凭证应仅用于存档。</w:t>
      </w:r>
    </w:p>
    <w:p w14:paraId="14B2A607">
      <w:pPr>
        <w:pStyle w:val="110"/>
        <w:spacing w:before="120" w:after="120"/>
        <w:rPr>
          <w:highlight w:val="none"/>
        </w:rPr>
      </w:pPr>
      <w:r>
        <w:rPr>
          <w:highlight w:val="none"/>
        </w:rPr>
        <w:t>数据管理</w:t>
      </w:r>
    </w:p>
    <w:p w14:paraId="632E5246">
      <w:pPr>
        <w:pStyle w:val="170"/>
        <w:rPr>
          <w:highlight w:val="none"/>
        </w:rPr>
      </w:pPr>
      <w:r>
        <w:rPr>
          <w:rFonts w:hint="eastAsia"/>
          <w:highlight w:val="none"/>
        </w:rPr>
        <w:t>应根据基础数据、业务数据、运营数据、管理数据进行分类。</w:t>
      </w:r>
    </w:p>
    <w:p w14:paraId="63726DC6">
      <w:pPr>
        <w:pStyle w:val="170"/>
        <w:rPr>
          <w:highlight w:val="none"/>
        </w:rPr>
      </w:pPr>
      <w:r>
        <w:rPr>
          <w:rFonts w:hint="eastAsia"/>
          <w:highlight w:val="none"/>
        </w:rPr>
        <w:t>数据的处理安全应符合GB/T 41479—2022中第6章的要求。</w:t>
      </w:r>
    </w:p>
    <w:p w14:paraId="260A9B9D">
      <w:pPr>
        <w:pStyle w:val="170"/>
        <w:rPr>
          <w:highlight w:val="none"/>
        </w:rPr>
      </w:pPr>
      <w:r>
        <w:rPr>
          <w:rFonts w:hint="eastAsia"/>
          <w:highlight w:val="none"/>
        </w:rPr>
        <w:t>应对数据进行安全等级划分，并制定数据访问规则。</w:t>
      </w:r>
    </w:p>
    <w:p w14:paraId="6A99BA25">
      <w:pPr>
        <w:pStyle w:val="170"/>
        <w:rPr>
          <w:highlight w:val="none"/>
        </w:rPr>
      </w:pPr>
      <w:r>
        <w:rPr>
          <w:rFonts w:hint="eastAsia"/>
          <w:highlight w:val="none"/>
        </w:rPr>
        <w:t>应在不涉及企业秘密和个人信息的条件下，提供对外数据交换接口。</w:t>
      </w:r>
    </w:p>
    <w:p w14:paraId="460D0CD8">
      <w:pPr>
        <w:pStyle w:val="110"/>
        <w:spacing w:before="120" w:after="120"/>
        <w:rPr>
          <w:highlight w:val="none"/>
        </w:rPr>
      </w:pPr>
      <w:r>
        <w:rPr>
          <w:rFonts w:hint="eastAsia"/>
          <w:highlight w:val="none"/>
        </w:rPr>
        <w:t>安全及运维管理</w:t>
      </w:r>
    </w:p>
    <w:p w14:paraId="6862B1A0">
      <w:pPr>
        <w:pStyle w:val="170"/>
        <w:rPr>
          <w:rFonts w:hint="eastAsia"/>
          <w:color w:val="FF0000"/>
          <w:highlight w:val="none"/>
        </w:rPr>
      </w:pPr>
      <w:r>
        <w:rPr>
          <w:rFonts w:hint="eastAsia"/>
          <w:highlight w:val="none"/>
        </w:rPr>
        <w:t>应定期对网络安全设备、系统和应用的安全性开展安全评估，及时采取网络安全防护措施和技术手段保障数字化基础设施安全。</w:t>
      </w:r>
    </w:p>
    <w:p w14:paraId="5CDBE5F9">
      <w:pPr>
        <w:pStyle w:val="170"/>
        <w:rPr>
          <w:rFonts w:hint="eastAsia"/>
          <w:color w:val="FF0000"/>
          <w:highlight w:val="none"/>
        </w:rPr>
      </w:pPr>
      <w:r>
        <w:rPr>
          <w:rFonts w:hint="eastAsia"/>
          <w:highlight w:val="none"/>
          <w:lang w:val="en-US" w:eastAsia="zh-CN"/>
        </w:rPr>
        <w:t>应定期</w:t>
      </w:r>
      <w:r>
        <w:rPr>
          <w:rFonts w:hint="eastAsia"/>
          <w:highlight w:val="none"/>
        </w:rPr>
        <w:t>评估设备、数字化仓库软件系统是否满足既定目标，对未达目标或指标的情况开展原因分析，并制定改进措施和提升计划。</w:t>
      </w:r>
    </w:p>
    <w:p w14:paraId="3476ED0E">
      <w:pPr>
        <w:pStyle w:val="170"/>
        <w:rPr>
          <w:highlight w:val="none"/>
        </w:rPr>
      </w:pPr>
      <w:r>
        <w:rPr>
          <w:rFonts w:hint="eastAsia"/>
          <w:highlight w:val="none"/>
        </w:rPr>
        <w:t>应收集软件系统及数字化设备的运行日志，包括系统日志、操作日志、错误日志等。</w:t>
      </w:r>
    </w:p>
    <w:p w14:paraId="13E944C8">
      <w:pPr>
        <w:pStyle w:val="170"/>
        <w:rPr>
          <w:highlight w:val="none"/>
        </w:rPr>
      </w:pPr>
      <w:r>
        <w:rPr>
          <w:rFonts w:hint="eastAsia"/>
          <w:highlight w:val="none"/>
        </w:rPr>
        <w:t>应根据运维管理计划设置专项建设资金用于保障数字化仓库软件系统的建设和维护。</w:t>
      </w:r>
    </w:p>
    <w:p w14:paraId="7F3AC1FC">
      <w:pPr>
        <w:pStyle w:val="170"/>
        <w:numPr>
          <w:ilvl w:val="0"/>
          <w:numId w:val="0"/>
        </w:numPr>
        <w:rPr>
          <w:highlight w:val="none"/>
        </w:rPr>
      </w:pPr>
    </w:p>
    <w:bookmarkEnd w:id="20"/>
    <w:p w14:paraId="08A7E037">
      <w:pPr>
        <w:pStyle w:val="170"/>
        <w:numPr>
          <w:ilvl w:val="0"/>
          <w:numId w:val="0"/>
        </w:numPr>
        <w:rPr>
          <w:highlight w:val="none"/>
        </w:rPr>
        <w:sectPr>
          <w:pgSz w:w="11906" w:h="16838"/>
          <w:pgMar w:top="1928" w:right="1134" w:bottom="1134" w:left="1134" w:header="1418" w:footer="1134" w:gutter="284"/>
          <w:pgNumType w:start="1"/>
          <w:cols w:space="425" w:num="1"/>
          <w:formProt w:val="0"/>
          <w:docGrid w:linePitch="312" w:charSpace="0"/>
        </w:sectPr>
      </w:pPr>
      <w:bookmarkStart w:id="49" w:name="BookMark6"/>
    </w:p>
    <w:p w14:paraId="151590C6">
      <w:pPr>
        <w:pStyle w:val="68"/>
        <w:spacing w:after="120"/>
        <w:rPr>
          <w:highlight w:val="none"/>
        </w:rPr>
      </w:pPr>
      <w:bookmarkStart w:id="50" w:name="_Toc175062081"/>
      <w:r>
        <w:rPr>
          <w:rFonts w:hint="eastAsia"/>
          <w:spacing w:val="105"/>
          <w:highlight w:val="none"/>
        </w:rPr>
        <w:t>参考文</w:t>
      </w:r>
      <w:r>
        <w:rPr>
          <w:rFonts w:hint="eastAsia"/>
          <w:highlight w:val="none"/>
        </w:rPr>
        <w:t>献</w:t>
      </w:r>
      <w:bookmarkEnd w:id="50"/>
    </w:p>
    <w:p w14:paraId="3AEF8DF6">
      <w:pPr>
        <w:pStyle w:val="61"/>
        <w:ind w:firstLine="420"/>
        <w:rPr>
          <w:highlight w:val="none"/>
        </w:rPr>
      </w:pPr>
    </w:p>
    <w:p w14:paraId="7BC311E9">
      <w:pPr>
        <w:pStyle w:val="61"/>
        <w:ind w:firstLine="420"/>
        <w:rPr>
          <w:highlight w:val="none"/>
        </w:rPr>
      </w:pPr>
    </w:p>
    <w:p w14:paraId="17212F97">
      <w:pPr>
        <w:pStyle w:val="61"/>
        <w:ind w:firstLine="420"/>
        <w:rPr>
          <w:highlight w:val="none"/>
        </w:rPr>
      </w:pPr>
      <w:r>
        <w:rPr>
          <w:rFonts w:hint="eastAsia"/>
          <w:highlight w:val="none"/>
        </w:rPr>
        <w:t>[1]GB/T　22239-2019　信息安全技术网络安全等级保护基本要求</w:t>
      </w:r>
    </w:p>
    <w:p w14:paraId="21CE873E">
      <w:pPr>
        <w:pStyle w:val="61"/>
        <w:ind w:firstLine="420"/>
        <w:rPr>
          <w:highlight w:val="none"/>
        </w:rPr>
      </w:pPr>
      <w:r>
        <w:rPr>
          <w:rFonts w:hint="eastAsia"/>
          <w:highlight w:val="none"/>
        </w:rPr>
        <w:t>[2]GB/T　33745-2017　物联网术语</w:t>
      </w:r>
    </w:p>
    <w:p w14:paraId="6777C75F">
      <w:pPr>
        <w:pStyle w:val="170"/>
        <w:numPr>
          <w:ilvl w:val="0"/>
          <w:numId w:val="0"/>
        </w:numPr>
        <w:rPr>
          <w:highlight w:val="none"/>
        </w:rPr>
      </w:pPr>
    </w:p>
    <w:bookmarkEnd w:id="49"/>
    <w:p w14:paraId="5681BB88">
      <w:pPr>
        <w:pStyle w:val="170"/>
        <w:numPr>
          <w:ilvl w:val="0"/>
          <w:numId w:val="0"/>
        </w:numPr>
        <w:jc w:val="center"/>
        <w:rPr>
          <w:highlight w:val="none"/>
        </w:rPr>
      </w:pPr>
      <w:bookmarkStart w:id="51" w:name="BookMark8"/>
      <w:r>
        <w:rPr>
          <w:highlight w:val="none"/>
        </w:rP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stretch>
                      <a:fillRect/>
                    </a:stretch>
                  </pic:blipFill>
                  <pic:spPr>
                    <a:xfrm>
                      <a:off x="0" y="0"/>
                      <a:ext cx="1485900" cy="317500"/>
                    </a:xfrm>
                    <a:prstGeom prst="rect">
                      <a:avLst/>
                    </a:prstGeom>
                  </pic:spPr>
                </pic:pic>
              </a:graphicData>
            </a:graphic>
          </wp:inline>
        </w:drawing>
      </w:r>
      <w:bookmarkEnd w:id="5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B781">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BFF0">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A755">
    <w:pPr>
      <w:pStyle w:val="57"/>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030B">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0F14">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656C">
    <w:pPr>
      <w:pStyle w:val="66"/>
    </w:pPr>
    <w:r>
      <w:fldChar w:fldCharType="begin"/>
    </w:r>
    <w:r>
      <w:instrText xml:space="preserve"> STYLEREF  标准文件_文件编号  \* MERGEFORMAT </w:instrText>
    </w:r>
    <w:r>
      <w:fldChar w:fldCharType="separate"/>
    </w:r>
    <w:r>
      <w:t>T/CFLPXXXX—XXXX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6DF5">
    <w:pPr>
      <w:pStyle w:val="20"/>
      <w:jc w:val="right"/>
    </w:pPr>
    <w:r>
      <w:fldChar w:fldCharType="begin"/>
    </w:r>
    <w:r>
      <w:instrText xml:space="preserve"> STYLEREF  标准文件_文件编号  \* MERGEFORMAT </w:instrText>
    </w:r>
    <w:r>
      <w:fldChar w:fldCharType="separate"/>
    </w:r>
    <w:r>
      <w:t>T/CFLPXXXX—XXXX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5NGQyNWVkZmEwOGQzMzkwZjNlMzhkZDU5NWYyNWIifQ=="/>
  </w:docVars>
  <w:rsids>
    <w:rsidRoot w:val="00BD080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196"/>
    <w:rsid w:val="00096D63"/>
    <w:rsid w:val="000A0B60"/>
    <w:rsid w:val="000A0EB8"/>
    <w:rsid w:val="000A19FC"/>
    <w:rsid w:val="000A296B"/>
    <w:rsid w:val="000A53E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75A"/>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FB9"/>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A3F"/>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BF5"/>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097"/>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1B5"/>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C1D"/>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3DB"/>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796"/>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23B"/>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22C"/>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6B6"/>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4B1"/>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80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93C"/>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6C6"/>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7C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2D7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8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277"/>
    <w:rsid w:val="00F56511"/>
    <w:rsid w:val="00F6194E"/>
    <w:rsid w:val="00F623AC"/>
    <w:rsid w:val="00F6412A"/>
    <w:rsid w:val="00F65893"/>
    <w:rsid w:val="00F66A4A"/>
    <w:rsid w:val="00F71E22"/>
    <w:rsid w:val="00F72142"/>
    <w:rsid w:val="00F72AE7"/>
    <w:rsid w:val="00F827B8"/>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797A6D"/>
    <w:rsid w:val="12141FFC"/>
    <w:rsid w:val="2635463A"/>
    <w:rsid w:val="55D61D1E"/>
    <w:rsid w:val="56A457AF"/>
    <w:rsid w:val="6F7B4442"/>
    <w:rsid w:val="756B183C"/>
    <w:rsid w:val="7ADE7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5"/>
    <w:semiHidden/>
    <w:unhideWhenUsed/>
    <w:qFormat/>
    <w:uiPriority w:val="99"/>
    <w:rPr>
      <w:rFonts w:ascii="宋体"/>
      <w:sz w:val="18"/>
      <w:szCs w:val="18"/>
    </w:rPr>
  </w:style>
  <w:style w:type="paragraph" w:styleId="14">
    <w:name w:val="annotation text"/>
    <w:basedOn w:val="1"/>
    <w:link w:val="236"/>
    <w:semiHidden/>
    <w:unhideWhenUsed/>
    <w:qFormat/>
    <w:uiPriority w:val="99"/>
    <w:pPr>
      <w:jc w:val="left"/>
    </w:pPr>
  </w:style>
  <w:style w:type="paragraph" w:styleId="15">
    <w:name w:val="Body Text"/>
    <w:basedOn w:val="1"/>
    <w:link w:val="91"/>
    <w:qFormat/>
    <w:uiPriority w:val="0"/>
    <w:pPr>
      <w:spacing w:after="12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3"/>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7"/>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1"/>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7"/>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5"/>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1"/>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1"/>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1"/>
    <w:qFormat/>
    <w:uiPriority w:val="0"/>
    <w:rPr>
      <w:rFonts w:ascii="黑体" w:eastAsia="黑体"/>
      <w:spacing w:val="85"/>
      <w:w w:val="100"/>
      <w:position w:val="3"/>
      <w:sz w:val="28"/>
      <w:szCs w:val="28"/>
    </w:rPr>
  </w:style>
  <w:style w:type="character" w:customStyle="1" w:styleId="235">
    <w:name w:val="文档结构图 字符"/>
    <w:basedOn w:val="31"/>
    <w:link w:val="13"/>
    <w:semiHidden/>
    <w:qFormat/>
    <w:uiPriority w:val="99"/>
    <w:rPr>
      <w:rFonts w:ascii="宋体"/>
      <w:kern w:val="2"/>
      <w:sz w:val="18"/>
      <w:szCs w:val="18"/>
    </w:rPr>
  </w:style>
  <w:style w:type="character" w:customStyle="1" w:styleId="236">
    <w:name w:val="批注文字 字符"/>
    <w:basedOn w:val="31"/>
    <w:link w:val="14"/>
    <w:semiHidden/>
    <w:qFormat/>
    <w:uiPriority w:val="99"/>
    <w:rPr>
      <w:rFonts w:ascii="Calibri" w:hAnsi="Calibri"/>
      <w:kern w:val="2"/>
      <w:sz w:val="21"/>
      <w:szCs w:val="21"/>
    </w:rPr>
  </w:style>
  <w:style w:type="character" w:customStyle="1" w:styleId="237">
    <w:name w:val="批注主题 字符"/>
    <w:basedOn w:val="236"/>
    <w:link w:val="28"/>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2EF174C851423CB9267B386AE8F9D9"/>
        <w:style w:val=""/>
        <w:category>
          <w:name w:val="常规"/>
          <w:gallery w:val="placeholder"/>
        </w:category>
        <w:types>
          <w:type w:val="bbPlcHdr"/>
        </w:types>
        <w:behaviors>
          <w:behavior w:val="content"/>
        </w:behaviors>
        <w:description w:val=""/>
        <w:guid w:val="{04E90F77-6363-4563-9715-6A70D981AE3E}"/>
      </w:docPartPr>
      <w:docPartBody>
        <w:p w14:paraId="71A096CB">
          <w:pPr>
            <w:pStyle w:val="5"/>
          </w:pPr>
          <w:r>
            <w:rPr>
              <w:rStyle w:val="4"/>
              <w:rFonts w:hint="eastAsia"/>
            </w:rPr>
            <w:t>单击或点击此处输入文字。</w:t>
          </w:r>
        </w:p>
      </w:docPartBody>
    </w:docPart>
    <w:docPart>
      <w:docPartPr>
        <w:name w:val="0E84F36CDFEB40C69839C91B7DAFA72C"/>
        <w:style w:val=""/>
        <w:category>
          <w:name w:val="常规"/>
          <w:gallery w:val="placeholder"/>
        </w:category>
        <w:types>
          <w:type w:val="bbPlcHdr"/>
        </w:types>
        <w:behaviors>
          <w:behavior w:val="content"/>
        </w:behaviors>
        <w:description w:val=""/>
        <w:guid w:val="{6637A460-9212-4CAF-9558-B24D4BB40B31}"/>
      </w:docPartPr>
      <w:docPartBody>
        <w:p w14:paraId="6AD136C8">
          <w:pPr>
            <w:pStyle w:val="6"/>
          </w:pPr>
          <w:r>
            <w:rPr>
              <w:rStyle w:val="4"/>
              <w:rFonts w:hint="eastAsia"/>
            </w:rPr>
            <w:t>选择一项。</w:t>
          </w:r>
        </w:p>
      </w:docPartBody>
    </w:docPart>
    <w:docPart>
      <w:docPartPr>
        <w:name w:val="1CC556CE795A48FD8CEA7249A4B7FE32"/>
        <w:style w:val=""/>
        <w:category>
          <w:name w:val="常规"/>
          <w:gallery w:val="placeholder"/>
        </w:category>
        <w:types>
          <w:type w:val="bbPlcHdr"/>
        </w:types>
        <w:behaviors>
          <w:behavior w:val="content"/>
        </w:behaviors>
        <w:description w:val=""/>
        <w:guid w:val="{C4173787-4918-4A58-BF67-E510F1211793}"/>
      </w:docPartPr>
      <w:docPartBody>
        <w:p w14:paraId="3789DA8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0B02BF"/>
    <w:rsid w:val="000B02BF"/>
    <w:rsid w:val="00226365"/>
    <w:rsid w:val="00CA0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12EF174C851423CB9267B386AE8F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84F36CDFEB40C69839C91B7DAFA7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C556CE795A48FD8CEA7249A4B7FE3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32CAB-5894-4F08-9667-45E63EAD47AF}">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3734</Words>
  <Characters>4130</Characters>
  <Lines>37</Lines>
  <Paragraphs>10</Paragraphs>
  <TotalTime>3</TotalTime>
  <ScaleCrop>false</ScaleCrop>
  <LinksUpToDate>false</LinksUpToDate>
  <CharactersWithSpaces>4210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2024-08-27T02:12:00Z</dcterms:created>
  <dc:creator>HCLS-ZHB</dc:creator>
  <dc:description>&lt;config cover="true" show_menu="true" version="1.0.0" doctype="SDKXY"&gt;_x000d_
&lt;/config&gt;</dc:description>
  <cp:lastModifiedBy>文档存本地丢失不负责</cp:lastModifiedBy>
  <cp:lastPrinted>2021-02-02T08:22:00Z</cp:lastPrinted>
  <dcterms:modified xsi:type="dcterms:W3CDTF">2024-08-27T05:53:19Z</dcterms:modified>
  <dc:title>团体标准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CBF24F8C19DD4693B0FDE1D9E8001188_13</vt:lpwstr>
  </property>
</Properties>
</file>