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AC7C8">
      <w:pPr>
        <w:jc w:val="center"/>
        <w:rPr>
          <w:b/>
          <w:bCs/>
          <w:sz w:val="32"/>
          <w:szCs w:val="32"/>
        </w:rPr>
      </w:pPr>
      <w:r>
        <w:rPr>
          <w:rFonts w:hint="eastAsia"/>
          <w:b/>
          <w:bCs/>
          <w:sz w:val="32"/>
          <w:szCs w:val="32"/>
        </w:rPr>
        <w:t>《液体化工品数字化仓库基本要求》团体标准</w:t>
      </w:r>
    </w:p>
    <w:p w14:paraId="31DE1C76">
      <w:pPr>
        <w:jc w:val="center"/>
        <w:rPr>
          <w:b/>
          <w:bCs/>
          <w:sz w:val="32"/>
          <w:szCs w:val="32"/>
        </w:rPr>
      </w:pPr>
      <w:r>
        <w:rPr>
          <w:rFonts w:hint="eastAsia"/>
          <w:b/>
          <w:bCs/>
          <w:sz w:val="32"/>
          <w:szCs w:val="32"/>
        </w:rPr>
        <w:t>（征求意见稿）编制说明</w:t>
      </w:r>
    </w:p>
    <w:p w14:paraId="29445E2A">
      <w:pPr>
        <w:pStyle w:val="10"/>
        <w:spacing w:before="12"/>
        <w:ind w:left="0"/>
        <w:jc w:val="both"/>
        <w:rPr>
          <w:spacing w:val="-5"/>
        </w:rPr>
      </w:pPr>
    </w:p>
    <w:p w14:paraId="1C31EAAB">
      <w:pPr>
        <w:ind w:firstLine="640" w:firstLineChars="200"/>
        <w:rPr>
          <w:rFonts w:ascii="黑体" w:hAnsi="黑体" w:eastAsia="黑体" w:cs="黑体"/>
          <w:sz w:val="32"/>
          <w:szCs w:val="32"/>
        </w:rPr>
      </w:pPr>
      <w:r>
        <w:rPr>
          <w:rFonts w:hint="eastAsia" w:ascii="黑体" w:hAnsi="黑体" w:eastAsia="黑体" w:cs="黑体"/>
          <w:sz w:val="32"/>
          <w:szCs w:val="32"/>
        </w:rPr>
        <w:t>一、工作简况</w:t>
      </w:r>
    </w:p>
    <w:p w14:paraId="19AF39AE">
      <w:pPr>
        <w:ind w:firstLine="640" w:firstLineChars="200"/>
        <w:rPr>
          <w:sz w:val="32"/>
          <w:szCs w:val="32"/>
        </w:rPr>
      </w:pPr>
      <w:r>
        <w:rPr>
          <w:rFonts w:hint="eastAsia"/>
          <w:sz w:val="32"/>
          <w:szCs w:val="32"/>
        </w:rPr>
        <w:t>（一）任务来源</w:t>
      </w:r>
    </w:p>
    <w:p w14:paraId="16AC619A">
      <w:pPr>
        <w:pStyle w:val="3"/>
        <w:rPr>
          <w:rFonts w:ascii="楷体" w:hAnsi="楷体" w:eastAsia="楷体" w:cs="楷体"/>
          <w:sz w:val="32"/>
          <w:szCs w:val="32"/>
        </w:rPr>
      </w:pPr>
      <w:r>
        <w:rPr>
          <w:rFonts w:hint="eastAsia" w:ascii="楷体" w:hAnsi="楷体" w:eastAsia="楷体" w:cs="楷体"/>
          <w:sz w:val="32"/>
          <w:szCs w:val="32"/>
        </w:rPr>
        <w:t>《液体化工品数字化仓库基本要求》由中国物流与采购联合会提出，中国物流与采购联合会团体标准技术委员会归口，根据《关于印发2023年第二季度中国物流与采购联合会团体标准项目计划的通知》（物联标字〔2023〕56号），于2023年4月20日批准立项，列入2023年第二季度中国物流与采购联合会团体标准项目计划，编号2023-TB-005。</w:t>
      </w:r>
    </w:p>
    <w:p w14:paraId="05FB291C">
      <w:pPr>
        <w:ind w:firstLine="640" w:firstLineChars="200"/>
        <w:rPr>
          <w:sz w:val="32"/>
          <w:szCs w:val="32"/>
        </w:rPr>
      </w:pPr>
      <w:r>
        <w:rPr>
          <w:rFonts w:hint="eastAsia"/>
          <w:sz w:val="32"/>
          <w:szCs w:val="32"/>
        </w:rPr>
        <w:t>（二）制定背景</w:t>
      </w:r>
    </w:p>
    <w:p w14:paraId="290C9034">
      <w:pPr>
        <w:pStyle w:val="3"/>
        <w:rPr>
          <w:rFonts w:ascii="楷体" w:hAnsi="楷体" w:eastAsia="楷体" w:cs="楷体"/>
          <w:sz w:val="32"/>
          <w:szCs w:val="32"/>
        </w:rPr>
      </w:pPr>
      <w:r>
        <w:rPr>
          <w:rFonts w:hint="eastAsia" w:ascii="楷体" w:hAnsi="楷体" w:eastAsia="楷体" w:cs="楷体"/>
          <w:sz w:val="32"/>
          <w:szCs w:val="32"/>
        </w:rPr>
        <w:t>近年来，随着全球能源结构转型与新材料技术的日新月异，液体化工品原料市场迎来了前所未有的发展机遇。特别是新能源、新材料产业的蓬勃兴起，对液体化工品如溶剂、中间体、添加剂等的需求持续攀升，推动了市场规模的显著扩张。据行业报告显示，中国液体化工物流市场规模从2020年的约66.60亿美元增长到2023年的114.45亿美元，同比增长18.3%，展现出强大的市场潜力和广阔的发展空间。</w:t>
      </w:r>
    </w:p>
    <w:p w14:paraId="4A291450">
      <w:pPr>
        <w:pStyle w:val="3"/>
        <w:rPr>
          <w:rFonts w:ascii="楷体" w:hAnsi="楷体" w:eastAsia="楷体" w:cs="楷体"/>
          <w:sz w:val="32"/>
          <w:szCs w:val="32"/>
        </w:rPr>
      </w:pPr>
      <w:r>
        <w:rPr>
          <w:rFonts w:hint="eastAsia" w:ascii="楷体" w:hAnsi="楷体" w:eastAsia="楷体" w:cs="楷体"/>
          <w:sz w:val="32"/>
          <w:szCs w:val="32"/>
        </w:rPr>
        <w:t>液体化工品具有易燃、‌易爆、‌易中毒、‌高温、‌高压、‌易腐蚀等特性，因此液体化工品仓库相较于普通仓库，有以下特性：易发生火灾燃烧风险事件，防控管理需求大；由于液体化工品存放于储罐内，在库期间需要24小时对液位、温度、压力等全方面监测，对盘点的数字化技术要求高，因此液体化工品对仓库的建设和运营管理的要求远高于存储普通货物的仓库。</w:t>
      </w:r>
    </w:p>
    <w:p w14:paraId="18C52C7C">
      <w:pPr>
        <w:pStyle w:val="3"/>
        <w:spacing w:before="0" w:line="365" w:lineRule="auto"/>
        <w:ind w:firstLine="482"/>
        <w:rPr>
          <w:rFonts w:ascii="楷体" w:hAnsi="楷体" w:eastAsia="楷体" w:cs="楷体"/>
          <w:sz w:val="32"/>
          <w:szCs w:val="32"/>
        </w:rPr>
      </w:pPr>
      <w:r>
        <w:rPr>
          <w:rFonts w:hint="eastAsia" w:ascii="楷体" w:hAnsi="楷体" w:eastAsia="楷体" w:cs="楷体"/>
          <w:sz w:val="32"/>
          <w:szCs w:val="32"/>
        </w:rPr>
        <w:t>随着数字化技术在物流领域的广泛应用，液体化工品仓库也迎来了智能化升级的浪潮，极大地提升了液体化工品仓储的安全性和运营效率，以长江国际为例，该企业率先在其液体化工品仓库中引入智能化管理系统，通过安装高精度传感器、智能监控摄像头及自动化控制系统，实现了对仓储环境的全方位、全天候监控。这一实践不仅提升了企业的运营效率，还显著降低了运营成本和安全风险，成为行业内数字化转型的典范。然而，尽管数字化仓库在液体化工品行业中取得了显著成效，但行业整体仍面临技术能力和管理能力的双重挑战。一方面，部分中小企业受限于资金和技术实力，难以快速推进数字化改造；另一方面，现有的数字化仓库标准虽已初步建立，例如WB/T　1118-2022《数字化仓库基本要求》为所有数字化仓库提供了一般性的指导意见，但在满足液体化工品仓库特殊需求方面仍显不足，如更高级别的安全防护、更精细化的环境监测等。</w:t>
      </w:r>
    </w:p>
    <w:p w14:paraId="04956C0A">
      <w:pPr>
        <w:pStyle w:val="3"/>
        <w:spacing w:before="0" w:line="365" w:lineRule="auto"/>
        <w:ind w:firstLine="482"/>
        <w:rPr>
          <w:rFonts w:ascii="楷体" w:hAnsi="楷体" w:eastAsia="楷体" w:cs="楷体"/>
          <w:sz w:val="32"/>
          <w:szCs w:val="32"/>
        </w:rPr>
      </w:pPr>
      <w:r>
        <w:rPr>
          <w:rFonts w:hint="eastAsia" w:ascii="楷体" w:hAnsi="楷体" w:eastAsia="楷体" w:cs="楷体"/>
          <w:sz w:val="32"/>
          <w:szCs w:val="32"/>
        </w:rPr>
        <w:t>因此，为了推动液体化工品仓储行业的整体进步，亟需总结并推广现有成功案例的经验，在全行业内进行推广实施，为新建的液体化工品数字化仓库提供设施设备和管理制度等方面的参考依据，提升已建成的液体化工品数字化仓库运营与管理水平，通过标准引领，推动整个行业向更加安全、高效、绿色的方向发展。</w:t>
      </w:r>
    </w:p>
    <w:p w14:paraId="531B28E7">
      <w:pPr>
        <w:ind w:firstLine="640" w:firstLineChars="200"/>
        <w:rPr>
          <w:sz w:val="32"/>
          <w:szCs w:val="32"/>
        </w:rPr>
      </w:pPr>
      <w:r>
        <w:rPr>
          <w:rFonts w:hint="eastAsia"/>
          <w:sz w:val="32"/>
          <w:szCs w:val="32"/>
        </w:rPr>
        <w:t>（三）主要起草过程</w:t>
      </w:r>
    </w:p>
    <w:p w14:paraId="05FCC1AF">
      <w:pPr>
        <w:pStyle w:val="3"/>
        <w:rPr>
          <w:rFonts w:ascii="楷体" w:hAnsi="楷体" w:eastAsia="楷体" w:cs="楷体"/>
          <w:sz w:val="32"/>
          <w:szCs w:val="32"/>
        </w:rPr>
      </w:pPr>
      <w:r>
        <w:rPr>
          <w:rFonts w:hint="eastAsia" w:ascii="楷体" w:hAnsi="楷体" w:eastAsia="楷体" w:cs="楷体"/>
          <w:sz w:val="32"/>
          <w:szCs w:val="32"/>
        </w:rPr>
        <w:t>1.预研阶段（2022年6月至2023年3月）</w:t>
      </w:r>
    </w:p>
    <w:p w14:paraId="003F297B">
      <w:pPr>
        <w:pStyle w:val="3"/>
        <w:rPr>
          <w:rFonts w:ascii="楷体" w:hAnsi="楷体" w:eastAsia="楷体" w:cs="楷体"/>
          <w:sz w:val="32"/>
          <w:szCs w:val="32"/>
        </w:rPr>
      </w:pPr>
      <w:r>
        <w:rPr>
          <w:rFonts w:hint="eastAsia" w:ascii="楷体" w:hAnsi="楷体" w:eastAsia="楷体" w:cs="楷体"/>
          <w:sz w:val="32"/>
          <w:szCs w:val="32"/>
        </w:rPr>
        <w:t>中国物流与采购联合会危化品物流分会、中国物流与采购联合会物联网技术与应用专业委员会、张家港保税区长江国际港务有限公司联合组织行业相关公司及多个相关方对标准的主体框架以及典型案例展开研究与探讨，并召开了液体化工品数字化仓库建设在线座谈会，协调形成了标准编制队伍的主要成员，就标准的整体框架、内容和服务对象等问题进行交流。通过收集了各方代表最初意见和反馈初步形成了标准草案。</w:t>
      </w:r>
    </w:p>
    <w:p w14:paraId="24035F30">
      <w:pPr>
        <w:pStyle w:val="3"/>
        <w:rPr>
          <w:rFonts w:ascii="楷体" w:hAnsi="楷体" w:eastAsia="楷体" w:cs="楷体"/>
          <w:sz w:val="32"/>
          <w:szCs w:val="32"/>
        </w:rPr>
      </w:pPr>
      <w:r>
        <w:rPr>
          <w:rFonts w:hint="eastAsia" w:ascii="楷体" w:hAnsi="楷体" w:eastAsia="楷体" w:cs="楷体"/>
          <w:sz w:val="32"/>
          <w:szCs w:val="32"/>
        </w:rPr>
        <w:t>2.立项阶段（2023年4月）</w:t>
      </w:r>
    </w:p>
    <w:p w14:paraId="442F0DBC">
      <w:pPr>
        <w:pStyle w:val="3"/>
        <w:rPr>
          <w:rFonts w:ascii="楷体" w:hAnsi="楷体" w:eastAsia="楷体" w:cs="楷体"/>
          <w:sz w:val="32"/>
          <w:szCs w:val="32"/>
        </w:rPr>
      </w:pPr>
      <w:r>
        <w:rPr>
          <w:rFonts w:hint="eastAsia" w:ascii="楷体" w:hAnsi="楷体" w:eastAsia="楷体" w:cs="楷体"/>
          <w:sz w:val="32"/>
          <w:szCs w:val="32"/>
        </w:rPr>
        <w:t>2023年4月，中国物流与采购联合会危化品物流分会组织相关单位完善标准草案，向中国物流与采购联合会团体标准化委员会提交立项资料。2023年4月20日《液体化工品数字化仓库基本要求》列入2023年第二季度中国物流与采购联合会团体标准项目计划，编号2023-TB-005。</w:t>
      </w:r>
    </w:p>
    <w:p w14:paraId="4CF2C740">
      <w:pPr>
        <w:pStyle w:val="3"/>
        <w:rPr>
          <w:rFonts w:ascii="楷体" w:hAnsi="楷体" w:eastAsia="楷体" w:cs="楷体"/>
          <w:sz w:val="32"/>
          <w:szCs w:val="32"/>
        </w:rPr>
      </w:pPr>
      <w:r>
        <w:rPr>
          <w:rFonts w:hint="eastAsia" w:ascii="楷体" w:hAnsi="楷体" w:eastAsia="楷体" w:cs="楷体"/>
          <w:sz w:val="32"/>
          <w:szCs w:val="32"/>
        </w:rPr>
        <w:t>3.起草阶段（2023年4月-2023年12月）</w:t>
      </w:r>
    </w:p>
    <w:p w14:paraId="739A9481">
      <w:pPr>
        <w:pStyle w:val="3"/>
        <w:rPr>
          <w:rFonts w:ascii="楷体" w:hAnsi="楷体" w:eastAsia="楷体" w:cs="楷体"/>
          <w:sz w:val="32"/>
          <w:szCs w:val="32"/>
        </w:rPr>
      </w:pPr>
      <w:r>
        <w:rPr>
          <w:rFonts w:hint="eastAsia" w:ascii="楷体" w:hAnsi="楷体" w:eastAsia="楷体" w:cs="楷体"/>
          <w:sz w:val="32"/>
          <w:szCs w:val="32"/>
        </w:rPr>
        <w:t>4-5月，立项通过后，分会组织广泛征集了与液体危险货物及化工产品装备、运输、储存产业相关的参与方，加入标准编制组，成立标准起草组，召开启动会。落实成员分工，明确标准制定各阶段时间节点和相应完成的标准文本及相关资料。</w:t>
      </w:r>
    </w:p>
    <w:p w14:paraId="730AE695">
      <w:pPr>
        <w:pStyle w:val="3"/>
        <w:rPr>
          <w:rFonts w:ascii="楷体" w:hAnsi="楷体" w:eastAsia="楷体" w:cs="楷体"/>
          <w:sz w:val="32"/>
          <w:szCs w:val="32"/>
        </w:rPr>
      </w:pPr>
      <w:r>
        <w:rPr>
          <w:rFonts w:hint="eastAsia" w:ascii="楷体" w:hAnsi="楷体" w:eastAsia="楷体" w:cs="楷体"/>
          <w:sz w:val="32"/>
          <w:szCs w:val="32"/>
        </w:rPr>
        <w:t>5月-7月，分会联合主要起草单位组织起草组开展第一次线上讨论会，并针对第一次讨论会提出的意见进行整理修改，完善工作组讨论稿（一稿）。起草组充分收集国内相关标准，吸收相应的思路、流程、项目和要求精华，完善了设施设备要求，形成了工作组讨论稿（二稿）。</w:t>
      </w:r>
    </w:p>
    <w:p w14:paraId="2C6E9FAC">
      <w:pPr>
        <w:pStyle w:val="3"/>
        <w:rPr>
          <w:rFonts w:ascii="楷体" w:hAnsi="楷体" w:eastAsia="楷体" w:cs="楷体"/>
          <w:sz w:val="32"/>
          <w:szCs w:val="32"/>
        </w:rPr>
      </w:pPr>
      <w:r>
        <w:rPr>
          <w:rFonts w:hint="eastAsia" w:ascii="楷体" w:hAnsi="楷体" w:eastAsia="楷体" w:cs="楷体"/>
          <w:sz w:val="32"/>
          <w:szCs w:val="32"/>
        </w:rPr>
        <w:t>8月，召开第二次线上讨论会，重点对标准中具体条文进行探讨，对标准中关于基本要求章节条文的设置、现场作业细化要求等进行进一步修改，依据讨论稿及相关资料针对标准的每个章节设置及重点内容形成统一共识，形成了工作组讨论稿（三稿）。</w:t>
      </w:r>
    </w:p>
    <w:p w14:paraId="62B112B0">
      <w:pPr>
        <w:pStyle w:val="3"/>
        <w:rPr>
          <w:rFonts w:ascii="楷体" w:hAnsi="楷体" w:eastAsia="楷体" w:cs="楷体"/>
          <w:sz w:val="32"/>
          <w:szCs w:val="32"/>
        </w:rPr>
      </w:pPr>
      <w:r>
        <w:rPr>
          <w:rFonts w:hint="eastAsia" w:ascii="楷体" w:hAnsi="楷体" w:eastAsia="楷体" w:cs="楷体"/>
          <w:sz w:val="32"/>
          <w:szCs w:val="32"/>
        </w:rPr>
        <w:t>9月-10月，在小范围重点企业进行调研，针对三稿中存在的问题、结合企业的自身情况进行意见反馈，针对企业提出的装卸设备中船舶装卸作业暂时无法实现自动化、监控设备中自动化系统、重大危险源的监测（监控）设施、企业主要生产和反应装置、危险废物库涉及范围过广超出标准界定范围等内容，起草组通过梳理完善形成了工作组讨论稿（四稿）。</w:t>
      </w:r>
    </w:p>
    <w:p w14:paraId="366D9912">
      <w:pPr>
        <w:pStyle w:val="3"/>
        <w:rPr>
          <w:rFonts w:ascii="楷体" w:hAnsi="楷体" w:eastAsia="楷体" w:cs="楷体"/>
          <w:sz w:val="32"/>
          <w:szCs w:val="32"/>
        </w:rPr>
      </w:pPr>
      <w:r>
        <w:rPr>
          <w:rFonts w:hint="eastAsia" w:ascii="楷体" w:hAnsi="楷体" w:eastAsia="楷体" w:cs="楷体"/>
          <w:sz w:val="32"/>
          <w:szCs w:val="32"/>
        </w:rPr>
        <w:t>11月-5月，11月在天津线下召开标准讨论会，针对四稿及相关资料进行讨论与调研，讨论中针对现场代表提出的管理制度、设备设施防爆等级、线上自助功能等问题，会后起草组通过梳理完善形成了征求意见稿。</w:t>
      </w:r>
    </w:p>
    <w:p w14:paraId="1D1B693F">
      <w:pPr>
        <w:pStyle w:val="3"/>
        <w:rPr>
          <w:rFonts w:ascii="楷体" w:hAnsi="楷体" w:eastAsia="楷体" w:cs="楷体"/>
          <w:sz w:val="32"/>
          <w:szCs w:val="32"/>
        </w:rPr>
      </w:pPr>
      <w:r>
        <w:rPr>
          <w:rFonts w:hint="eastAsia" w:ascii="楷体" w:hAnsi="楷体" w:eastAsia="楷体" w:cs="楷体"/>
          <w:sz w:val="32"/>
          <w:szCs w:val="32"/>
        </w:rPr>
        <w:t>5月-7月，针对标准提交的征集意见稿及相关资料依据团标委的修改意见，主执笔单位及主要起草单位，从章节结构的设置、标准表述的规范化、各项条例的设置是否符合当下行业情况等方面逐条完善，经过三次修改完善，形成标准征求意见稿及相关资料。</w:t>
      </w:r>
    </w:p>
    <w:p w14:paraId="3559AC06">
      <w:pPr>
        <w:pStyle w:val="3"/>
        <w:rPr>
          <w:rFonts w:ascii="楷体" w:hAnsi="楷体" w:eastAsia="楷体" w:cs="楷体"/>
          <w:sz w:val="32"/>
          <w:szCs w:val="32"/>
        </w:rPr>
      </w:pPr>
      <w:r>
        <w:rPr>
          <w:rFonts w:hint="eastAsia" w:ascii="楷体" w:hAnsi="楷体" w:eastAsia="楷体" w:cs="楷体"/>
          <w:sz w:val="32"/>
          <w:szCs w:val="32"/>
        </w:rPr>
        <w:t>4.征求意见阶段（2024年8月）</w:t>
      </w:r>
    </w:p>
    <w:p w14:paraId="0F12C724">
      <w:pPr>
        <w:pStyle w:val="3"/>
        <w:rPr>
          <w:rFonts w:ascii="楷体" w:hAnsi="楷体" w:eastAsia="楷体" w:cs="楷体"/>
          <w:sz w:val="32"/>
          <w:szCs w:val="32"/>
        </w:rPr>
      </w:pPr>
      <w:r>
        <w:rPr>
          <w:rFonts w:hint="eastAsia" w:ascii="楷体" w:hAnsi="楷体" w:eastAsia="楷体" w:cs="楷体"/>
          <w:sz w:val="32"/>
          <w:szCs w:val="32"/>
        </w:rPr>
        <w:t>2024年8月，向团标委提报申请开展征求意见，并提交标准征求意见稿文本、编制说明等相关材料。</w:t>
      </w:r>
    </w:p>
    <w:p w14:paraId="4D68996E">
      <w:pPr>
        <w:ind w:firstLine="640" w:firstLineChars="200"/>
        <w:rPr>
          <w:sz w:val="32"/>
          <w:szCs w:val="32"/>
        </w:rPr>
      </w:pPr>
      <w:r>
        <w:rPr>
          <w:rFonts w:hint="eastAsia"/>
          <w:sz w:val="32"/>
          <w:szCs w:val="32"/>
        </w:rPr>
        <w:t>（四）起草单位、主要起草人及其所做的工作</w:t>
      </w:r>
    </w:p>
    <w:p w14:paraId="2B18AB4C">
      <w:pPr>
        <w:pStyle w:val="3"/>
        <w:rPr>
          <w:rFonts w:ascii="楷体" w:hAnsi="楷体" w:eastAsia="楷体" w:cs="楷体"/>
          <w:sz w:val="32"/>
          <w:szCs w:val="32"/>
        </w:rPr>
      </w:pPr>
      <w:r>
        <w:rPr>
          <w:rFonts w:hint="eastAsia" w:ascii="楷体" w:hAnsi="楷体" w:eastAsia="楷体" w:cs="楷体"/>
          <w:sz w:val="32"/>
          <w:szCs w:val="32"/>
        </w:rPr>
        <w:t>起草单位、主要起草人及分工见表1。</w:t>
      </w:r>
    </w:p>
    <w:p w14:paraId="0F7CBF16">
      <w:pPr>
        <w:jc w:val="center"/>
        <w:rPr>
          <w:rFonts w:ascii="楷体" w:hAnsi="楷体" w:eastAsia="楷体" w:cs="楷体"/>
          <w:sz w:val="28"/>
          <w:szCs w:val="28"/>
        </w:rPr>
      </w:pPr>
      <w:r>
        <w:rPr>
          <w:rFonts w:hint="eastAsia" w:ascii="楷体" w:hAnsi="楷体" w:eastAsia="楷体" w:cs="楷体"/>
          <w:sz w:val="28"/>
          <w:szCs w:val="28"/>
        </w:rPr>
        <w:t>表1起草单位、主要起草人及分工</w:t>
      </w:r>
    </w:p>
    <w:tbl>
      <w:tblPr>
        <w:tblStyle w:val="13"/>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288"/>
        <w:gridCol w:w="1411"/>
        <w:gridCol w:w="3601"/>
      </w:tblGrid>
      <w:tr w14:paraId="41FF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0F797747">
            <w:pPr>
              <w:jc w:val="center"/>
              <w:rPr>
                <w:rFonts w:ascii="楷体" w:hAnsi="楷体" w:eastAsia="楷体" w:cs="楷体"/>
                <w:szCs w:val="21"/>
              </w:rPr>
            </w:pPr>
            <w:r>
              <w:rPr>
                <w:rFonts w:hint="eastAsia" w:ascii="楷体" w:hAnsi="楷体" w:eastAsia="楷体" w:cs="楷体"/>
                <w:szCs w:val="21"/>
              </w:rPr>
              <w:t>序号</w:t>
            </w:r>
          </w:p>
        </w:tc>
        <w:tc>
          <w:tcPr>
            <w:tcW w:w="3288" w:type="dxa"/>
          </w:tcPr>
          <w:p w14:paraId="7F12C8BC">
            <w:pPr>
              <w:jc w:val="center"/>
              <w:rPr>
                <w:rFonts w:ascii="楷体" w:hAnsi="楷体" w:eastAsia="楷体" w:cs="楷体"/>
                <w:szCs w:val="21"/>
              </w:rPr>
            </w:pPr>
            <w:r>
              <w:rPr>
                <w:rFonts w:hint="eastAsia" w:ascii="楷体" w:hAnsi="楷体" w:eastAsia="楷体" w:cs="楷体"/>
                <w:szCs w:val="21"/>
              </w:rPr>
              <w:t>起草单位</w:t>
            </w:r>
          </w:p>
        </w:tc>
        <w:tc>
          <w:tcPr>
            <w:tcW w:w="1411" w:type="dxa"/>
          </w:tcPr>
          <w:p w14:paraId="345E7828">
            <w:pPr>
              <w:jc w:val="center"/>
              <w:rPr>
                <w:rFonts w:ascii="楷体" w:hAnsi="楷体" w:eastAsia="楷体" w:cs="楷体"/>
                <w:szCs w:val="21"/>
              </w:rPr>
            </w:pPr>
            <w:r>
              <w:rPr>
                <w:rFonts w:hint="eastAsia" w:ascii="楷体" w:hAnsi="楷体" w:eastAsia="楷体" w:cs="楷体"/>
                <w:szCs w:val="21"/>
              </w:rPr>
              <w:t>主要起草人</w:t>
            </w:r>
          </w:p>
        </w:tc>
        <w:tc>
          <w:tcPr>
            <w:tcW w:w="3601" w:type="dxa"/>
          </w:tcPr>
          <w:p w14:paraId="0ACE5C49">
            <w:pPr>
              <w:jc w:val="center"/>
              <w:rPr>
                <w:rFonts w:ascii="楷体" w:hAnsi="楷体" w:eastAsia="楷体" w:cs="楷体"/>
                <w:szCs w:val="21"/>
              </w:rPr>
            </w:pPr>
            <w:r>
              <w:rPr>
                <w:rFonts w:hint="eastAsia" w:ascii="楷体" w:hAnsi="楷体" w:eastAsia="楷体" w:cs="楷体"/>
                <w:szCs w:val="21"/>
              </w:rPr>
              <w:t>分工</w:t>
            </w:r>
          </w:p>
        </w:tc>
      </w:tr>
      <w:tr w14:paraId="6A8D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4D62378E">
            <w:pPr>
              <w:jc w:val="center"/>
              <w:rPr>
                <w:rFonts w:ascii="楷体" w:hAnsi="楷体" w:eastAsia="楷体" w:cs="楷体"/>
                <w:szCs w:val="21"/>
              </w:rPr>
            </w:pPr>
            <w:r>
              <w:rPr>
                <w:rFonts w:hint="eastAsia" w:ascii="楷体" w:hAnsi="楷体" w:eastAsia="楷体" w:cs="楷体"/>
                <w:szCs w:val="21"/>
              </w:rPr>
              <w:t>1</w:t>
            </w:r>
          </w:p>
        </w:tc>
        <w:tc>
          <w:tcPr>
            <w:tcW w:w="3288" w:type="dxa"/>
          </w:tcPr>
          <w:p w14:paraId="02F3D05E">
            <w:pPr>
              <w:jc w:val="center"/>
              <w:rPr>
                <w:rFonts w:ascii="楷体" w:hAnsi="楷体" w:eastAsia="楷体" w:cs="楷体"/>
                <w:szCs w:val="21"/>
              </w:rPr>
            </w:pPr>
            <w:r>
              <w:rPr>
                <w:rFonts w:hint="eastAsia" w:ascii="楷体" w:hAnsi="楷体" w:eastAsia="楷体" w:cs="楷体"/>
                <w:szCs w:val="21"/>
              </w:rPr>
              <w:t>中国物流与采购联合会危化品物流分会</w:t>
            </w:r>
          </w:p>
        </w:tc>
        <w:tc>
          <w:tcPr>
            <w:tcW w:w="1411" w:type="dxa"/>
            <w:vAlign w:val="center"/>
          </w:tcPr>
          <w:p w14:paraId="0A53D0AA">
            <w:pPr>
              <w:jc w:val="center"/>
              <w:rPr>
                <w:rFonts w:ascii="楷体" w:hAnsi="楷体" w:eastAsia="楷体" w:cs="楷体"/>
                <w:szCs w:val="21"/>
              </w:rPr>
            </w:pPr>
            <w:r>
              <w:rPr>
                <w:rFonts w:hint="eastAsia" w:ascii="楷体" w:hAnsi="楷体" w:eastAsia="楷体" w:cs="楷体"/>
                <w:szCs w:val="21"/>
              </w:rPr>
              <w:t>刘宇航、韩冰、蔡执阳</w:t>
            </w:r>
          </w:p>
        </w:tc>
        <w:tc>
          <w:tcPr>
            <w:tcW w:w="3601" w:type="dxa"/>
            <w:vAlign w:val="center"/>
          </w:tcPr>
          <w:p w14:paraId="510B1B88">
            <w:pPr>
              <w:jc w:val="center"/>
              <w:rPr>
                <w:rFonts w:ascii="楷体" w:hAnsi="楷体" w:eastAsia="楷体" w:cs="楷体"/>
                <w:szCs w:val="21"/>
              </w:rPr>
            </w:pPr>
            <w:r>
              <w:rPr>
                <w:rFonts w:hint="eastAsia" w:ascii="楷体" w:hAnsi="楷体" w:eastAsia="楷体" w:cs="楷体"/>
                <w:szCs w:val="21"/>
              </w:rPr>
              <w:t>牵头起草，负责提供行业调研企业推荐、行业数据来源及主要技术内容的行业验证</w:t>
            </w:r>
          </w:p>
        </w:tc>
      </w:tr>
      <w:tr w14:paraId="4109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61AA3143">
            <w:pPr>
              <w:jc w:val="center"/>
              <w:rPr>
                <w:rFonts w:ascii="楷体" w:hAnsi="楷体" w:eastAsia="楷体" w:cs="楷体"/>
                <w:szCs w:val="21"/>
              </w:rPr>
            </w:pPr>
            <w:r>
              <w:rPr>
                <w:rFonts w:hint="eastAsia" w:ascii="楷体" w:hAnsi="楷体" w:eastAsia="楷体" w:cs="楷体"/>
                <w:szCs w:val="21"/>
              </w:rPr>
              <w:t>2</w:t>
            </w:r>
          </w:p>
        </w:tc>
        <w:tc>
          <w:tcPr>
            <w:tcW w:w="3288" w:type="dxa"/>
          </w:tcPr>
          <w:p w14:paraId="48B70152">
            <w:pPr>
              <w:jc w:val="center"/>
              <w:rPr>
                <w:rFonts w:ascii="楷体" w:hAnsi="楷体" w:eastAsia="楷体" w:cs="楷体"/>
                <w:szCs w:val="21"/>
              </w:rPr>
            </w:pPr>
            <w:r>
              <w:rPr>
                <w:rFonts w:hint="eastAsia" w:ascii="楷体" w:hAnsi="楷体" w:eastAsia="楷体" w:cs="楷体"/>
                <w:szCs w:val="21"/>
              </w:rPr>
              <w:t>中国物流与采购联合会物联网技术与应用专业委员会</w:t>
            </w:r>
          </w:p>
        </w:tc>
        <w:tc>
          <w:tcPr>
            <w:tcW w:w="1411" w:type="dxa"/>
            <w:vAlign w:val="center"/>
          </w:tcPr>
          <w:p w14:paraId="4DF0F428">
            <w:pPr>
              <w:jc w:val="center"/>
              <w:rPr>
                <w:rFonts w:ascii="楷体" w:hAnsi="楷体" w:eastAsia="楷体" w:cs="楷体"/>
                <w:szCs w:val="21"/>
              </w:rPr>
            </w:pPr>
            <w:r>
              <w:rPr>
                <w:rFonts w:hint="eastAsia" w:ascii="楷体" w:hAnsi="楷体" w:eastAsia="楷体" w:cs="楷体"/>
                <w:szCs w:val="21"/>
              </w:rPr>
              <w:t>吕忠、沈启星</w:t>
            </w:r>
          </w:p>
        </w:tc>
        <w:tc>
          <w:tcPr>
            <w:tcW w:w="3601" w:type="dxa"/>
            <w:vMerge w:val="restart"/>
            <w:vAlign w:val="center"/>
          </w:tcPr>
          <w:p w14:paraId="54B73F9A">
            <w:pPr>
              <w:jc w:val="center"/>
              <w:rPr>
                <w:rFonts w:ascii="楷体" w:hAnsi="楷体" w:eastAsia="楷体" w:cs="楷体"/>
                <w:szCs w:val="21"/>
              </w:rPr>
            </w:pPr>
            <w:r>
              <w:rPr>
                <w:rFonts w:hint="eastAsia" w:ascii="楷体" w:hAnsi="楷体" w:eastAsia="楷体" w:cs="楷体"/>
                <w:szCs w:val="21"/>
              </w:rPr>
              <w:t>负责组织行业调研与研讨会以及意见反馈的整理与处理、标准内容及资料的修改完善、标准流程把控</w:t>
            </w:r>
          </w:p>
        </w:tc>
      </w:tr>
      <w:tr w14:paraId="59B7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355467EC">
            <w:pPr>
              <w:jc w:val="center"/>
              <w:rPr>
                <w:rFonts w:ascii="楷体" w:hAnsi="楷体" w:eastAsia="楷体" w:cs="楷体"/>
                <w:szCs w:val="21"/>
              </w:rPr>
            </w:pPr>
            <w:r>
              <w:rPr>
                <w:rFonts w:hint="eastAsia" w:ascii="楷体" w:hAnsi="楷体" w:eastAsia="楷体" w:cs="楷体"/>
                <w:szCs w:val="21"/>
              </w:rPr>
              <w:t>3</w:t>
            </w:r>
          </w:p>
        </w:tc>
        <w:tc>
          <w:tcPr>
            <w:tcW w:w="3288" w:type="dxa"/>
          </w:tcPr>
          <w:p w14:paraId="46DD61C4">
            <w:pPr>
              <w:jc w:val="center"/>
              <w:rPr>
                <w:rFonts w:ascii="楷体" w:hAnsi="楷体" w:eastAsia="楷体" w:cs="楷体"/>
                <w:szCs w:val="21"/>
              </w:rPr>
            </w:pPr>
            <w:r>
              <w:rPr>
                <w:rFonts w:hint="eastAsia" w:ascii="楷体" w:hAnsi="楷体" w:eastAsia="楷体" w:cs="楷体"/>
                <w:szCs w:val="21"/>
              </w:rPr>
              <w:t>张家港保税区长江国际港务有限公司</w:t>
            </w:r>
          </w:p>
        </w:tc>
        <w:tc>
          <w:tcPr>
            <w:tcW w:w="1411" w:type="dxa"/>
            <w:vAlign w:val="center"/>
          </w:tcPr>
          <w:p w14:paraId="3D5ABC26">
            <w:pPr>
              <w:jc w:val="center"/>
              <w:rPr>
                <w:rFonts w:ascii="楷体" w:hAnsi="楷体" w:eastAsia="楷体" w:cs="楷体"/>
                <w:szCs w:val="21"/>
              </w:rPr>
            </w:pPr>
            <w:r>
              <w:rPr>
                <w:rFonts w:hint="eastAsia" w:ascii="楷体" w:hAnsi="楷体" w:eastAsia="楷体" w:cs="楷体"/>
                <w:szCs w:val="21"/>
              </w:rPr>
              <w:t>李金伟、褚月锋</w:t>
            </w:r>
          </w:p>
        </w:tc>
        <w:tc>
          <w:tcPr>
            <w:tcW w:w="3601" w:type="dxa"/>
            <w:vMerge w:val="continue"/>
            <w:vAlign w:val="center"/>
          </w:tcPr>
          <w:p w14:paraId="2AC51A26">
            <w:pPr>
              <w:jc w:val="center"/>
              <w:rPr>
                <w:rFonts w:ascii="楷体" w:hAnsi="楷体" w:eastAsia="楷体" w:cs="楷体"/>
                <w:szCs w:val="21"/>
              </w:rPr>
            </w:pPr>
          </w:p>
        </w:tc>
      </w:tr>
      <w:tr w14:paraId="4BE2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5B58D927">
            <w:pPr>
              <w:jc w:val="center"/>
              <w:rPr>
                <w:rFonts w:ascii="楷体" w:hAnsi="楷体" w:eastAsia="楷体" w:cs="楷体"/>
                <w:szCs w:val="21"/>
              </w:rPr>
            </w:pPr>
            <w:r>
              <w:rPr>
                <w:rFonts w:hint="eastAsia" w:ascii="楷体" w:hAnsi="楷体" w:eastAsia="楷体" w:cs="楷体"/>
                <w:szCs w:val="21"/>
              </w:rPr>
              <w:t>4</w:t>
            </w:r>
          </w:p>
        </w:tc>
        <w:tc>
          <w:tcPr>
            <w:tcW w:w="3288" w:type="dxa"/>
          </w:tcPr>
          <w:p w14:paraId="52596811">
            <w:pPr>
              <w:jc w:val="center"/>
              <w:rPr>
                <w:rFonts w:ascii="楷体" w:hAnsi="楷体" w:eastAsia="楷体" w:cs="楷体"/>
                <w:szCs w:val="21"/>
              </w:rPr>
            </w:pPr>
            <w:r>
              <w:rPr>
                <w:rFonts w:hint="eastAsia" w:ascii="楷体" w:hAnsi="楷体" w:eastAsia="楷体" w:cs="楷体"/>
                <w:szCs w:val="21"/>
              </w:rPr>
              <w:t>广东宏川智慧物流股份有限公司</w:t>
            </w:r>
          </w:p>
        </w:tc>
        <w:tc>
          <w:tcPr>
            <w:tcW w:w="1411" w:type="dxa"/>
            <w:vAlign w:val="center"/>
          </w:tcPr>
          <w:p w14:paraId="3DE35461">
            <w:pPr>
              <w:jc w:val="center"/>
              <w:rPr>
                <w:rFonts w:ascii="楷体" w:hAnsi="楷体" w:eastAsia="楷体" w:cs="楷体"/>
                <w:szCs w:val="21"/>
              </w:rPr>
            </w:pPr>
            <w:r>
              <w:rPr>
                <w:rFonts w:hint="eastAsia" w:ascii="楷体" w:hAnsi="楷体" w:eastAsia="楷体" w:cs="楷体"/>
                <w:szCs w:val="21"/>
              </w:rPr>
              <w:t>田运涛</w:t>
            </w:r>
          </w:p>
        </w:tc>
        <w:tc>
          <w:tcPr>
            <w:tcW w:w="3601" w:type="dxa"/>
            <w:vMerge w:val="restart"/>
            <w:vAlign w:val="center"/>
          </w:tcPr>
          <w:p w14:paraId="21C51B37">
            <w:pPr>
              <w:jc w:val="center"/>
              <w:rPr>
                <w:rFonts w:ascii="楷体" w:hAnsi="楷体" w:eastAsia="楷体" w:cs="楷体"/>
                <w:szCs w:val="21"/>
              </w:rPr>
            </w:pPr>
            <w:r>
              <w:rPr>
                <w:rFonts w:hint="eastAsia" w:ascii="楷体" w:hAnsi="楷体" w:eastAsia="楷体" w:cs="楷体"/>
                <w:szCs w:val="21"/>
              </w:rPr>
              <w:t>参与起草，负责协助标准主要技术内容的识别与完善、配合行业调研征集</w:t>
            </w:r>
          </w:p>
        </w:tc>
      </w:tr>
      <w:tr w14:paraId="1CC3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4A319D18">
            <w:pPr>
              <w:jc w:val="center"/>
              <w:rPr>
                <w:rFonts w:ascii="楷体" w:hAnsi="楷体" w:eastAsia="楷体" w:cs="楷体"/>
                <w:szCs w:val="21"/>
              </w:rPr>
            </w:pPr>
            <w:r>
              <w:rPr>
                <w:rFonts w:hint="eastAsia" w:ascii="楷体" w:hAnsi="楷体" w:eastAsia="楷体" w:cs="楷体"/>
                <w:szCs w:val="21"/>
              </w:rPr>
              <w:t>5</w:t>
            </w:r>
          </w:p>
        </w:tc>
        <w:tc>
          <w:tcPr>
            <w:tcW w:w="3288" w:type="dxa"/>
          </w:tcPr>
          <w:p w14:paraId="5FCE96A3">
            <w:pPr>
              <w:jc w:val="center"/>
              <w:rPr>
                <w:rFonts w:ascii="楷体" w:hAnsi="楷体" w:eastAsia="楷体" w:cs="楷体"/>
                <w:szCs w:val="21"/>
              </w:rPr>
            </w:pPr>
            <w:r>
              <w:rPr>
                <w:rFonts w:hint="eastAsia" w:ascii="楷体" w:hAnsi="楷体" w:eastAsia="楷体" w:cs="楷体"/>
                <w:szCs w:val="21"/>
              </w:rPr>
              <w:t>江阴恒阳物流集团</w:t>
            </w:r>
          </w:p>
        </w:tc>
        <w:tc>
          <w:tcPr>
            <w:tcW w:w="1411" w:type="dxa"/>
          </w:tcPr>
          <w:p w14:paraId="2BEF32C1">
            <w:pPr>
              <w:jc w:val="center"/>
              <w:rPr>
                <w:rFonts w:ascii="楷体" w:hAnsi="楷体" w:eastAsia="楷体" w:cs="楷体"/>
                <w:szCs w:val="21"/>
              </w:rPr>
            </w:pPr>
            <w:r>
              <w:rPr>
                <w:rFonts w:hint="eastAsia" w:ascii="楷体" w:hAnsi="楷体" w:eastAsia="楷体" w:cs="楷体"/>
                <w:szCs w:val="21"/>
              </w:rPr>
              <w:t>曲宏伟</w:t>
            </w:r>
          </w:p>
        </w:tc>
        <w:tc>
          <w:tcPr>
            <w:tcW w:w="3601" w:type="dxa"/>
            <w:vMerge w:val="continue"/>
          </w:tcPr>
          <w:p w14:paraId="4AD3EBE0">
            <w:pPr>
              <w:jc w:val="center"/>
              <w:rPr>
                <w:rFonts w:ascii="楷体" w:hAnsi="楷体" w:eastAsia="楷体" w:cs="楷体"/>
                <w:szCs w:val="21"/>
              </w:rPr>
            </w:pPr>
          </w:p>
        </w:tc>
      </w:tr>
      <w:tr w14:paraId="47B5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5323D7C9">
            <w:pPr>
              <w:jc w:val="center"/>
              <w:rPr>
                <w:rFonts w:ascii="楷体" w:hAnsi="楷体" w:eastAsia="楷体" w:cs="楷体"/>
                <w:szCs w:val="21"/>
              </w:rPr>
            </w:pPr>
            <w:r>
              <w:rPr>
                <w:rFonts w:hint="eastAsia" w:ascii="楷体" w:hAnsi="楷体" w:eastAsia="楷体" w:cs="楷体"/>
                <w:szCs w:val="21"/>
              </w:rPr>
              <w:t>6</w:t>
            </w:r>
          </w:p>
        </w:tc>
        <w:tc>
          <w:tcPr>
            <w:tcW w:w="3288" w:type="dxa"/>
          </w:tcPr>
          <w:p w14:paraId="2F99A298">
            <w:pPr>
              <w:jc w:val="center"/>
              <w:rPr>
                <w:rFonts w:ascii="楷体" w:hAnsi="楷体" w:eastAsia="楷体" w:cs="楷体"/>
                <w:szCs w:val="21"/>
              </w:rPr>
            </w:pPr>
            <w:r>
              <w:rPr>
                <w:rFonts w:hint="eastAsia" w:ascii="楷体" w:hAnsi="楷体" w:eastAsia="楷体" w:cs="楷体"/>
                <w:szCs w:val="21"/>
              </w:rPr>
              <w:t>福建中远海运化工码头有限公司</w:t>
            </w:r>
          </w:p>
        </w:tc>
        <w:tc>
          <w:tcPr>
            <w:tcW w:w="1411" w:type="dxa"/>
          </w:tcPr>
          <w:p w14:paraId="76C5504F">
            <w:pPr>
              <w:jc w:val="center"/>
              <w:rPr>
                <w:rFonts w:ascii="楷体" w:hAnsi="楷体" w:eastAsia="楷体" w:cs="楷体"/>
                <w:szCs w:val="21"/>
              </w:rPr>
            </w:pPr>
            <w:r>
              <w:rPr>
                <w:rFonts w:hint="eastAsia" w:ascii="楷体" w:hAnsi="楷体" w:eastAsia="楷体" w:cs="楷体"/>
                <w:szCs w:val="21"/>
              </w:rPr>
              <w:t>赵春波</w:t>
            </w:r>
          </w:p>
        </w:tc>
        <w:tc>
          <w:tcPr>
            <w:tcW w:w="3601" w:type="dxa"/>
            <w:vMerge w:val="continue"/>
          </w:tcPr>
          <w:p w14:paraId="640E952F">
            <w:pPr>
              <w:jc w:val="center"/>
              <w:rPr>
                <w:rFonts w:ascii="楷体" w:hAnsi="楷体" w:eastAsia="楷体" w:cs="楷体"/>
                <w:szCs w:val="21"/>
              </w:rPr>
            </w:pPr>
          </w:p>
        </w:tc>
      </w:tr>
      <w:tr w14:paraId="5950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0ED19B40">
            <w:pPr>
              <w:jc w:val="center"/>
              <w:rPr>
                <w:rFonts w:ascii="楷体" w:hAnsi="楷体" w:eastAsia="楷体" w:cs="楷体"/>
                <w:szCs w:val="21"/>
              </w:rPr>
            </w:pPr>
            <w:r>
              <w:rPr>
                <w:rFonts w:hint="eastAsia" w:ascii="楷体" w:hAnsi="楷体" w:eastAsia="楷体" w:cs="楷体"/>
                <w:szCs w:val="21"/>
              </w:rPr>
              <w:t>7</w:t>
            </w:r>
          </w:p>
        </w:tc>
        <w:tc>
          <w:tcPr>
            <w:tcW w:w="3288" w:type="dxa"/>
          </w:tcPr>
          <w:p w14:paraId="346B394F">
            <w:pPr>
              <w:jc w:val="center"/>
              <w:rPr>
                <w:rFonts w:ascii="楷体" w:hAnsi="楷体" w:eastAsia="楷体" w:cs="楷体"/>
                <w:szCs w:val="21"/>
              </w:rPr>
            </w:pPr>
            <w:r>
              <w:rPr>
                <w:rFonts w:hint="eastAsia" w:ascii="楷体" w:hAnsi="楷体" w:eastAsia="楷体" w:cs="楷体"/>
                <w:szCs w:val="21"/>
              </w:rPr>
              <w:t>东莞市百安石化仓储有限公司</w:t>
            </w:r>
          </w:p>
        </w:tc>
        <w:tc>
          <w:tcPr>
            <w:tcW w:w="1411" w:type="dxa"/>
          </w:tcPr>
          <w:p w14:paraId="23DDB239">
            <w:pPr>
              <w:jc w:val="center"/>
              <w:rPr>
                <w:rFonts w:ascii="楷体" w:hAnsi="楷体" w:eastAsia="楷体" w:cs="楷体"/>
                <w:szCs w:val="21"/>
              </w:rPr>
            </w:pPr>
            <w:r>
              <w:rPr>
                <w:rFonts w:hint="eastAsia" w:ascii="楷体" w:hAnsi="楷体" w:eastAsia="楷体" w:cs="楷体"/>
                <w:szCs w:val="21"/>
              </w:rPr>
              <w:t>梁文立</w:t>
            </w:r>
          </w:p>
        </w:tc>
        <w:tc>
          <w:tcPr>
            <w:tcW w:w="3601" w:type="dxa"/>
            <w:vMerge w:val="continue"/>
          </w:tcPr>
          <w:p w14:paraId="1E4A6DB7">
            <w:pPr>
              <w:jc w:val="center"/>
              <w:rPr>
                <w:rFonts w:ascii="楷体" w:hAnsi="楷体" w:eastAsia="楷体" w:cs="楷体"/>
                <w:szCs w:val="21"/>
              </w:rPr>
            </w:pPr>
          </w:p>
        </w:tc>
      </w:tr>
      <w:tr w14:paraId="1FE9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67264CA8">
            <w:pPr>
              <w:jc w:val="center"/>
              <w:rPr>
                <w:rFonts w:ascii="楷体" w:hAnsi="楷体" w:eastAsia="楷体" w:cs="楷体"/>
                <w:szCs w:val="21"/>
              </w:rPr>
            </w:pPr>
            <w:r>
              <w:rPr>
                <w:rFonts w:hint="eastAsia" w:ascii="楷体" w:hAnsi="楷体" w:eastAsia="楷体" w:cs="楷体"/>
                <w:szCs w:val="21"/>
              </w:rPr>
              <w:t>8</w:t>
            </w:r>
          </w:p>
        </w:tc>
        <w:tc>
          <w:tcPr>
            <w:tcW w:w="3288" w:type="dxa"/>
          </w:tcPr>
          <w:p w14:paraId="1D2F5A22">
            <w:pPr>
              <w:jc w:val="center"/>
              <w:rPr>
                <w:rFonts w:ascii="楷体" w:hAnsi="楷体" w:eastAsia="楷体" w:cs="楷体"/>
                <w:szCs w:val="21"/>
              </w:rPr>
            </w:pPr>
            <w:r>
              <w:rPr>
                <w:rFonts w:hint="eastAsia" w:ascii="楷体" w:hAnsi="楷体" w:eastAsia="楷体" w:cs="楷体"/>
                <w:szCs w:val="21"/>
              </w:rPr>
              <w:t>陕西延长石油集团三原销售有限公司</w:t>
            </w:r>
          </w:p>
        </w:tc>
        <w:tc>
          <w:tcPr>
            <w:tcW w:w="1411" w:type="dxa"/>
          </w:tcPr>
          <w:p w14:paraId="3793C994">
            <w:pPr>
              <w:jc w:val="center"/>
              <w:rPr>
                <w:rFonts w:ascii="楷体" w:hAnsi="楷体" w:eastAsia="楷体" w:cs="楷体"/>
                <w:szCs w:val="21"/>
              </w:rPr>
            </w:pPr>
            <w:r>
              <w:rPr>
                <w:rFonts w:hint="eastAsia" w:ascii="楷体" w:hAnsi="楷体" w:eastAsia="楷体" w:cs="楷体"/>
                <w:szCs w:val="21"/>
              </w:rPr>
              <w:t>张冰、张水</w:t>
            </w:r>
          </w:p>
        </w:tc>
        <w:tc>
          <w:tcPr>
            <w:tcW w:w="3601" w:type="dxa"/>
            <w:vMerge w:val="continue"/>
          </w:tcPr>
          <w:p w14:paraId="64B20994">
            <w:pPr>
              <w:jc w:val="center"/>
              <w:rPr>
                <w:rFonts w:ascii="楷体" w:hAnsi="楷体" w:eastAsia="楷体" w:cs="楷体"/>
                <w:szCs w:val="21"/>
              </w:rPr>
            </w:pPr>
          </w:p>
        </w:tc>
      </w:tr>
      <w:tr w14:paraId="51C8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34EB18BB">
            <w:pPr>
              <w:jc w:val="center"/>
              <w:rPr>
                <w:rFonts w:ascii="楷体" w:hAnsi="楷体" w:eastAsia="楷体" w:cs="楷体"/>
                <w:szCs w:val="21"/>
              </w:rPr>
            </w:pPr>
            <w:r>
              <w:rPr>
                <w:rFonts w:hint="eastAsia" w:ascii="楷体" w:hAnsi="楷体" w:eastAsia="楷体" w:cs="楷体"/>
                <w:szCs w:val="21"/>
              </w:rPr>
              <w:t>9</w:t>
            </w:r>
          </w:p>
        </w:tc>
        <w:tc>
          <w:tcPr>
            <w:tcW w:w="3288" w:type="dxa"/>
          </w:tcPr>
          <w:p w14:paraId="7F891E8B">
            <w:pPr>
              <w:jc w:val="center"/>
              <w:rPr>
                <w:rFonts w:ascii="楷体" w:hAnsi="楷体" w:eastAsia="楷体" w:cs="楷体"/>
                <w:szCs w:val="21"/>
              </w:rPr>
            </w:pPr>
            <w:r>
              <w:rPr>
                <w:rFonts w:hint="eastAsia" w:ascii="楷体" w:hAnsi="楷体" w:eastAsia="楷体" w:cs="楷体"/>
                <w:szCs w:val="21"/>
              </w:rPr>
              <w:t>江苏丽天石化码头有限公司</w:t>
            </w:r>
          </w:p>
        </w:tc>
        <w:tc>
          <w:tcPr>
            <w:tcW w:w="1411" w:type="dxa"/>
          </w:tcPr>
          <w:p w14:paraId="04188A85">
            <w:pPr>
              <w:jc w:val="center"/>
              <w:rPr>
                <w:rFonts w:ascii="楷体" w:hAnsi="楷体" w:eastAsia="楷体" w:cs="楷体"/>
                <w:szCs w:val="21"/>
              </w:rPr>
            </w:pPr>
            <w:r>
              <w:rPr>
                <w:rFonts w:hint="eastAsia" w:ascii="楷体" w:hAnsi="楷体" w:eastAsia="楷体" w:cs="楷体"/>
                <w:szCs w:val="21"/>
              </w:rPr>
              <w:t>黄德华</w:t>
            </w:r>
          </w:p>
        </w:tc>
        <w:tc>
          <w:tcPr>
            <w:tcW w:w="3601" w:type="dxa"/>
            <w:vMerge w:val="continue"/>
          </w:tcPr>
          <w:p w14:paraId="59BF28C8">
            <w:pPr>
              <w:jc w:val="center"/>
              <w:rPr>
                <w:rFonts w:ascii="楷体" w:hAnsi="楷体" w:eastAsia="楷体" w:cs="楷体"/>
                <w:szCs w:val="21"/>
              </w:rPr>
            </w:pPr>
          </w:p>
        </w:tc>
      </w:tr>
      <w:tr w14:paraId="6163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0AEFBB9F">
            <w:pPr>
              <w:jc w:val="center"/>
              <w:rPr>
                <w:rFonts w:ascii="楷体" w:hAnsi="楷体" w:eastAsia="楷体" w:cs="楷体"/>
                <w:szCs w:val="21"/>
              </w:rPr>
            </w:pPr>
            <w:r>
              <w:rPr>
                <w:rFonts w:hint="eastAsia" w:ascii="楷体" w:hAnsi="楷体" w:eastAsia="楷体" w:cs="楷体"/>
                <w:szCs w:val="21"/>
              </w:rPr>
              <w:t>10</w:t>
            </w:r>
          </w:p>
        </w:tc>
        <w:tc>
          <w:tcPr>
            <w:tcW w:w="3288" w:type="dxa"/>
          </w:tcPr>
          <w:p w14:paraId="0823AEC4">
            <w:pPr>
              <w:jc w:val="center"/>
              <w:rPr>
                <w:rFonts w:ascii="楷体" w:hAnsi="楷体" w:eastAsia="楷体" w:cs="楷体"/>
                <w:szCs w:val="21"/>
              </w:rPr>
            </w:pPr>
            <w:r>
              <w:rPr>
                <w:rFonts w:hint="eastAsia" w:ascii="楷体" w:hAnsi="楷体" w:eastAsia="楷体" w:cs="楷体"/>
                <w:szCs w:val="21"/>
              </w:rPr>
              <w:t>中化能源物流有限公司</w:t>
            </w:r>
          </w:p>
        </w:tc>
        <w:tc>
          <w:tcPr>
            <w:tcW w:w="1411" w:type="dxa"/>
          </w:tcPr>
          <w:p w14:paraId="62CB8F6F">
            <w:pPr>
              <w:jc w:val="center"/>
              <w:rPr>
                <w:rFonts w:ascii="楷体" w:hAnsi="楷体" w:eastAsia="楷体" w:cs="楷体"/>
                <w:szCs w:val="21"/>
              </w:rPr>
            </w:pPr>
            <w:r>
              <w:rPr>
                <w:rFonts w:hint="eastAsia" w:ascii="楷体" w:hAnsi="楷体" w:eastAsia="楷体" w:cs="楷体"/>
                <w:szCs w:val="21"/>
              </w:rPr>
              <w:t>黄诚、杨晓东</w:t>
            </w:r>
          </w:p>
        </w:tc>
        <w:tc>
          <w:tcPr>
            <w:tcW w:w="3601" w:type="dxa"/>
            <w:vMerge w:val="continue"/>
          </w:tcPr>
          <w:p w14:paraId="4FB8955C">
            <w:pPr>
              <w:jc w:val="center"/>
              <w:rPr>
                <w:rFonts w:ascii="楷体" w:hAnsi="楷体" w:eastAsia="楷体" w:cs="楷体"/>
                <w:szCs w:val="21"/>
              </w:rPr>
            </w:pPr>
          </w:p>
        </w:tc>
      </w:tr>
      <w:tr w14:paraId="1F04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1A3FFBD1">
            <w:pPr>
              <w:jc w:val="center"/>
              <w:rPr>
                <w:rFonts w:ascii="楷体" w:hAnsi="楷体" w:eastAsia="楷体" w:cs="楷体"/>
                <w:szCs w:val="21"/>
              </w:rPr>
            </w:pPr>
            <w:r>
              <w:rPr>
                <w:rFonts w:hint="eastAsia" w:ascii="楷体" w:hAnsi="楷体" w:eastAsia="楷体" w:cs="楷体"/>
                <w:szCs w:val="21"/>
              </w:rPr>
              <w:t>11</w:t>
            </w:r>
          </w:p>
        </w:tc>
        <w:tc>
          <w:tcPr>
            <w:tcW w:w="3288" w:type="dxa"/>
          </w:tcPr>
          <w:p w14:paraId="088617CA">
            <w:pPr>
              <w:jc w:val="center"/>
              <w:rPr>
                <w:rFonts w:ascii="楷体" w:hAnsi="楷体" w:eastAsia="楷体" w:cs="楷体"/>
                <w:szCs w:val="21"/>
              </w:rPr>
            </w:pPr>
            <w:r>
              <w:rPr>
                <w:rFonts w:hint="eastAsia" w:ascii="楷体" w:hAnsi="楷体" w:eastAsia="楷体" w:cs="楷体"/>
                <w:szCs w:val="21"/>
              </w:rPr>
              <w:t>六六云链科技（宁波）有限公司</w:t>
            </w:r>
          </w:p>
        </w:tc>
        <w:tc>
          <w:tcPr>
            <w:tcW w:w="1411" w:type="dxa"/>
          </w:tcPr>
          <w:p w14:paraId="59E61C47">
            <w:pPr>
              <w:jc w:val="center"/>
              <w:rPr>
                <w:rFonts w:ascii="楷体" w:hAnsi="楷体" w:eastAsia="楷体" w:cs="楷体"/>
                <w:szCs w:val="21"/>
              </w:rPr>
            </w:pPr>
            <w:r>
              <w:rPr>
                <w:rFonts w:hint="eastAsia" w:ascii="楷体" w:hAnsi="楷体" w:eastAsia="楷体" w:cs="楷体"/>
                <w:szCs w:val="21"/>
              </w:rPr>
              <w:t>孙黎明、张帆</w:t>
            </w:r>
          </w:p>
        </w:tc>
        <w:tc>
          <w:tcPr>
            <w:tcW w:w="3601" w:type="dxa"/>
            <w:vMerge w:val="continue"/>
          </w:tcPr>
          <w:p w14:paraId="7D16A2B4">
            <w:pPr>
              <w:jc w:val="center"/>
              <w:rPr>
                <w:rFonts w:ascii="楷体" w:hAnsi="楷体" w:eastAsia="楷体" w:cs="楷体"/>
                <w:szCs w:val="21"/>
              </w:rPr>
            </w:pPr>
          </w:p>
        </w:tc>
      </w:tr>
    </w:tbl>
    <w:p w14:paraId="1C596C37">
      <w:pPr>
        <w:pStyle w:val="2"/>
      </w:pPr>
    </w:p>
    <w:p w14:paraId="4A447274">
      <w:pPr>
        <w:ind w:firstLine="640" w:firstLineChars="200"/>
        <w:rPr>
          <w:rFonts w:ascii="黑体" w:hAnsi="黑体" w:eastAsia="黑体" w:cs="黑体"/>
          <w:sz w:val="32"/>
          <w:szCs w:val="32"/>
        </w:rPr>
      </w:pPr>
      <w:r>
        <w:rPr>
          <w:rFonts w:hint="eastAsia" w:ascii="黑体" w:hAnsi="黑体" w:eastAsia="黑体" w:cs="黑体"/>
          <w:sz w:val="32"/>
          <w:szCs w:val="32"/>
        </w:rPr>
        <w:t>二、编制原则、主要内容及其确定的来源和依据</w:t>
      </w:r>
    </w:p>
    <w:p w14:paraId="056CA8F8">
      <w:pPr>
        <w:ind w:firstLine="640" w:firstLineChars="200"/>
        <w:rPr>
          <w:sz w:val="32"/>
          <w:szCs w:val="32"/>
        </w:rPr>
      </w:pPr>
      <w:r>
        <w:rPr>
          <w:rFonts w:hint="eastAsia"/>
          <w:sz w:val="32"/>
          <w:szCs w:val="32"/>
        </w:rPr>
        <w:t>（一）编制原则</w:t>
      </w:r>
    </w:p>
    <w:p w14:paraId="79C7D3C4">
      <w:pPr>
        <w:pStyle w:val="3"/>
        <w:spacing w:before="0" w:line="360" w:lineRule="auto"/>
        <w:ind w:right="-21"/>
        <w:rPr>
          <w:rFonts w:ascii="楷体" w:hAnsi="楷体" w:eastAsia="楷体" w:cs="楷体"/>
          <w:sz w:val="32"/>
          <w:szCs w:val="32"/>
        </w:rPr>
      </w:pPr>
      <w:r>
        <w:rPr>
          <w:rFonts w:hint="eastAsia" w:ascii="楷体" w:hAnsi="楷体" w:eastAsia="楷体" w:cs="楷体"/>
          <w:sz w:val="32"/>
          <w:szCs w:val="32"/>
        </w:rPr>
        <w:t>按照 GB/T1.1－2020《标准化工作导则第 1 部分：标准的结构和编写》的要 求和规定编写本标准内容。本标准还符合以下原则：</w:t>
      </w:r>
    </w:p>
    <w:p w14:paraId="5029C0CF">
      <w:pPr>
        <w:pStyle w:val="3"/>
        <w:spacing w:before="0" w:line="360" w:lineRule="auto"/>
        <w:ind w:right="-21"/>
        <w:rPr>
          <w:rFonts w:ascii="楷体" w:hAnsi="楷体" w:eastAsia="楷体" w:cs="楷体"/>
          <w:sz w:val="32"/>
          <w:szCs w:val="32"/>
        </w:rPr>
      </w:pPr>
      <w:r>
        <w:rPr>
          <w:rFonts w:hint="eastAsia" w:ascii="楷体" w:hAnsi="楷体" w:eastAsia="楷体" w:cs="楷体"/>
          <w:sz w:val="32"/>
          <w:szCs w:val="32"/>
        </w:rPr>
        <w:t>按照 GB/T1.1－2020《标准化工作导则第 1 部分：标准的结构和编写》的要求和规定编写本标准内容。本标准还符合以下原则：</w:t>
      </w:r>
    </w:p>
    <w:p w14:paraId="6CD6A3AE">
      <w:pPr>
        <w:pStyle w:val="37"/>
        <w:tabs>
          <w:tab w:val="left" w:pos="1100"/>
        </w:tabs>
        <w:spacing w:before="0" w:line="360" w:lineRule="auto"/>
        <w:ind w:left="860" w:right="-21" w:firstLine="0"/>
        <w:rPr>
          <w:rFonts w:ascii="楷体" w:hAnsi="楷体" w:eastAsia="楷体" w:cs="楷体"/>
          <w:kern w:val="2"/>
          <w:sz w:val="32"/>
          <w:szCs w:val="32"/>
        </w:rPr>
      </w:pPr>
      <w:r>
        <w:rPr>
          <w:rFonts w:hint="eastAsia" w:ascii="楷体" w:hAnsi="楷体" w:eastAsia="楷体" w:cs="楷体"/>
          <w:kern w:val="2"/>
          <w:sz w:val="32"/>
          <w:szCs w:val="32"/>
        </w:rPr>
        <w:t>1.与法律法规与相关标准规保持一致的原则</w:t>
      </w:r>
    </w:p>
    <w:p w14:paraId="2493F344">
      <w:pPr>
        <w:pStyle w:val="3"/>
        <w:spacing w:before="0" w:line="360" w:lineRule="auto"/>
        <w:ind w:right="-21"/>
        <w:rPr>
          <w:rFonts w:ascii="楷体" w:hAnsi="楷体" w:eastAsia="楷体" w:cs="楷体"/>
          <w:sz w:val="32"/>
          <w:szCs w:val="32"/>
        </w:rPr>
      </w:pPr>
      <w:r>
        <w:rPr>
          <w:rFonts w:hint="eastAsia" w:ascii="楷体" w:hAnsi="楷体" w:eastAsia="楷体" w:cs="楷体"/>
          <w:sz w:val="32"/>
          <w:szCs w:val="32"/>
        </w:rPr>
        <w:t>本标准在起草过程中，认真对照本标准在起草过程中，认真对照《中华人民共和国数据安全法》《中华人民共和国物流业条例》《中华人民共和国合同法》中的有关规定，以及《信息安全技术 网络数据处理安全要求》国家标准中的有关规定，使本标准所涉及到的法律、法规问题有据可依，与国家相关法律、法规保持一致。</w:t>
      </w:r>
    </w:p>
    <w:p w14:paraId="5AE8391D">
      <w:pPr>
        <w:pStyle w:val="37"/>
        <w:tabs>
          <w:tab w:val="left" w:pos="1100"/>
        </w:tabs>
        <w:spacing w:before="0" w:line="360" w:lineRule="auto"/>
        <w:ind w:left="860" w:right="-21" w:firstLine="0"/>
        <w:rPr>
          <w:rFonts w:ascii="楷体" w:hAnsi="楷体" w:eastAsia="楷体" w:cs="楷体"/>
          <w:kern w:val="2"/>
          <w:sz w:val="32"/>
          <w:szCs w:val="32"/>
        </w:rPr>
      </w:pPr>
      <w:r>
        <w:rPr>
          <w:rFonts w:hint="eastAsia" w:ascii="楷体" w:hAnsi="楷体" w:eastAsia="楷体" w:cs="楷体"/>
          <w:kern w:val="2"/>
          <w:sz w:val="32"/>
          <w:szCs w:val="32"/>
        </w:rPr>
        <w:t>2.协调性原则</w:t>
      </w:r>
    </w:p>
    <w:p w14:paraId="19E3FD55">
      <w:pPr>
        <w:pStyle w:val="3"/>
        <w:spacing w:before="0" w:line="360" w:lineRule="auto"/>
        <w:ind w:right="-21"/>
        <w:rPr>
          <w:rFonts w:ascii="楷体" w:hAnsi="楷体" w:eastAsia="楷体" w:cs="楷体"/>
          <w:sz w:val="32"/>
          <w:szCs w:val="32"/>
        </w:rPr>
      </w:pPr>
      <w:r>
        <w:rPr>
          <w:rFonts w:hint="eastAsia" w:ascii="楷体" w:hAnsi="楷体" w:eastAsia="楷体" w:cs="楷体"/>
          <w:sz w:val="32"/>
          <w:szCs w:val="32"/>
        </w:rPr>
        <w:t>本标准在技术内容、框架结构、要素表述等方面与上位标准 WB/T 1118-2022</w:t>
      </w:r>
    </w:p>
    <w:p w14:paraId="583521F1">
      <w:pPr>
        <w:pStyle w:val="3"/>
        <w:spacing w:before="0" w:line="360" w:lineRule="auto"/>
        <w:ind w:left="860" w:right="-21" w:hanging="480"/>
        <w:rPr>
          <w:rFonts w:ascii="楷体" w:hAnsi="楷体" w:eastAsia="楷体" w:cs="楷体"/>
          <w:sz w:val="32"/>
          <w:szCs w:val="32"/>
        </w:rPr>
      </w:pPr>
      <w:r>
        <w:rPr>
          <w:rFonts w:hint="eastAsia" w:ascii="楷体" w:hAnsi="楷体" w:eastAsia="楷体" w:cs="楷体"/>
          <w:sz w:val="32"/>
          <w:szCs w:val="32"/>
        </w:rPr>
        <w:t>《数字化仓库基本要求》相协调。</w:t>
      </w:r>
    </w:p>
    <w:p w14:paraId="5A7A59A7">
      <w:pPr>
        <w:pStyle w:val="3"/>
        <w:spacing w:before="0" w:line="360" w:lineRule="auto"/>
        <w:ind w:left="808" w:leftChars="344" w:right="-21" w:hanging="86" w:hangingChars="27"/>
        <w:rPr>
          <w:rFonts w:ascii="楷体" w:hAnsi="楷体" w:eastAsia="楷体" w:cs="楷体"/>
          <w:sz w:val="32"/>
          <w:szCs w:val="32"/>
        </w:rPr>
      </w:pPr>
      <w:r>
        <w:rPr>
          <w:rFonts w:hint="eastAsia" w:ascii="楷体" w:hAnsi="楷体" w:eastAsia="楷体" w:cs="楷体"/>
          <w:sz w:val="32"/>
          <w:szCs w:val="32"/>
        </w:rPr>
        <w:t xml:space="preserve"> 3.可操作性原则</w:t>
      </w:r>
    </w:p>
    <w:p w14:paraId="5346CD07">
      <w:pPr>
        <w:pStyle w:val="3"/>
        <w:spacing w:before="0" w:line="360" w:lineRule="auto"/>
        <w:ind w:right="-21"/>
        <w:rPr>
          <w:rFonts w:ascii="楷体" w:hAnsi="楷体" w:eastAsia="楷体" w:cs="楷体"/>
          <w:sz w:val="32"/>
          <w:szCs w:val="32"/>
        </w:rPr>
      </w:pPr>
      <w:r>
        <w:rPr>
          <w:rFonts w:hint="eastAsia" w:ascii="楷体" w:hAnsi="楷体" w:eastAsia="楷体" w:cs="楷体"/>
          <w:sz w:val="32"/>
          <w:szCs w:val="32"/>
        </w:rPr>
        <w:t>本标准从实际性、科学性角度出发，根据液体化工品仓库作业设备、软件系统、管理制度、环境监测等多个方面编制标准，充分考虑标准条款实施的可行性、有效性，具有较强的可操作性。</w:t>
      </w:r>
    </w:p>
    <w:p w14:paraId="21220416">
      <w:pPr>
        <w:ind w:firstLine="640" w:firstLineChars="200"/>
        <w:rPr>
          <w:sz w:val="32"/>
          <w:szCs w:val="32"/>
        </w:rPr>
      </w:pPr>
      <w:r>
        <w:rPr>
          <w:rFonts w:hint="eastAsia"/>
          <w:sz w:val="32"/>
          <w:szCs w:val="32"/>
        </w:rPr>
        <w:t>（二）主要内容及其确定依据</w:t>
      </w:r>
    </w:p>
    <w:p w14:paraId="0E866B8C">
      <w:pPr>
        <w:pStyle w:val="5"/>
        <w:tabs>
          <w:tab w:val="left" w:pos="1219"/>
        </w:tabs>
        <w:spacing w:before="161"/>
        <w:ind w:left="1219" w:hanging="359"/>
        <w:rPr>
          <w:rFonts w:ascii="楷体" w:hAnsi="楷体" w:eastAsia="楷体" w:cs="楷体"/>
          <w:b w:val="0"/>
          <w:bCs w:val="0"/>
          <w:kern w:val="2"/>
          <w:sz w:val="32"/>
          <w:szCs w:val="32"/>
        </w:rPr>
      </w:pPr>
      <w:r>
        <w:rPr>
          <w:rFonts w:hint="eastAsia" w:ascii="楷体" w:hAnsi="楷体" w:eastAsia="楷体" w:cs="楷体"/>
          <w:b w:val="0"/>
          <w:bCs w:val="0"/>
          <w:kern w:val="2"/>
          <w:sz w:val="32"/>
          <w:szCs w:val="32"/>
        </w:rPr>
        <w:t>1 基本内容</w:t>
      </w:r>
    </w:p>
    <w:p w14:paraId="028ECA0F">
      <w:pPr>
        <w:pStyle w:val="3"/>
        <w:rPr>
          <w:rFonts w:ascii="楷体" w:hAnsi="楷体" w:eastAsia="楷体" w:cs="楷体"/>
          <w:sz w:val="32"/>
          <w:szCs w:val="32"/>
        </w:rPr>
      </w:pPr>
      <w:r>
        <w:rPr>
          <w:rFonts w:hint="eastAsia" w:ascii="楷体" w:hAnsi="楷体" w:eastAsia="楷体" w:cs="楷体"/>
          <w:sz w:val="32"/>
          <w:szCs w:val="32"/>
        </w:rPr>
        <w:t>《液体化工品数字化仓库基本要求》团体标准主要内容包括：</w:t>
      </w:r>
    </w:p>
    <w:p w14:paraId="7543FB71">
      <w:pPr>
        <w:pStyle w:val="3"/>
        <w:rPr>
          <w:rFonts w:ascii="楷体" w:hAnsi="楷体" w:eastAsia="楷体" w:cs="楷体"/>
          <w:sz w:val="32"/>
          <w:szCs w:val="32"/>
        </w:rPr>
      </w:pPr>
      <w:r>
        <w:rPr>
          <w:rFonts w:hint="eastAsia" w:ascii="楷体" w:hAnsi="楷体" w:eastAsia="楷体" w:cs="楷体"/>
          <w:sz w:val="32"/>
          <w:szCs w:val="32"/>
        </w:rPr>
        <w:t>范围、规范性引用文件、术语和定义、缩略语、基本要求、技术要求和管理要求。</w:t>
      </w:r>
    </w:p>
    <w:p w14:paraId="5CF09686">
      <w:pPr>
        <w:pStyle w:val="5"/>
        <w:tabs>
          <w:tab w:val="left" w:pos="1219"/>
        </w:tabs>
        <w:spacing w:before="161"/>
        <w:ind w:left="1219" w:hanging="359"/>
        <w:rPr>
          <w:rFonts w:ascii="楷体" w:hAnsi="楷体" w:eastAsia="楷体" w:cs="楷体"/>
          <w:b w:val="0"/>
          <w:bCs w:val="0"/>
          <w:kern w:val="2"/>
          <w:sz w:val="32"/>
          <w:szCs w:val="32"/>
        </w:rPr>
      </w:pPr>
      <w:r>
        <w:rPr>
          <w:rFonts w:hint="eastAsia" w:ascii="楷体" w:hAnsi="楷体" w:eastAsia="楷体" w:cs="楷体"/>
          <w:b w:val="0"/>
          <w:bCs w:val="0"/>
          <w:kern w:val="2"/>
          <w:sz w:val="32"/>
          <w:szCs w:val="32"/>
        </w:rPr>
        <w:t>2 主要内容说明</w:t>
      </w:r>
    </w:p>
    <w:p w14:paraId="6CEEBD61">
      <w:pPr>
        <w:pStyle w:val="37"/>
        <w:tabs>
          <w:tab w:val="left" w:pos="1281"/>
        </w:tabs>
        <w:spacing w:before="160"/>
        <w:ind w:left="1281" w:hanging="421"/>
        <w:rPr>
          <w:rFonts w:ascii="楷体" w:hAnsi="楷体" w:eastAsia="楷体" w:cs="楷体"/>
          <w:kern w:val="2"/>
          <w:sz w:val="32"/>
          <w:szCs w:val="32"/>
        </w:rPr>
      </w:pPr>
      <w:bookmarkStart w:id="0" w:name="_Toc97192964"/>
      <w:bookmarkStart w:id="1" w:name="_Toc24884211"/>
      <w:bookmarkStart w:id="2" w:name="_Toc17233333"/>
      <w:bookmarkStart w:id="3" w:name="_Toc26986530"/>
      <w:bookmarkStart w:id="4" w:name="_Toc26718930"/>
      <w:bookmarkStart w:id="5" w:name="_Toc26648465"/>
      <w:bookmarkStart w:id="6" w:name="_Toc17233325"/>
      <w:bookmarkStart w:id="7" w:name="_Toc26986771"/>
      <w:bookmarkStart w:id="8" w:name="_Toc24884218"/>
      <w:r>
        <w:rPr>
          <w:rFonts w:hint="eastAsia" w:ascii="楷体" w:hAnsi="楷体" w:eastAsia="楷体" w:cs="楷体"/>
          <w:kern w:val="2"/>
          <w:sz w:val="32"/>
          <w:szCs w:val="32"/>
        </w:rPr>
        <w:t>1 范围</w:t>
      </w:r>
      <w:bookmarkEnd w:id="0"/>
      <w:bookmarkEnd w:id="1"/>
      <w:bookmarkEnd w:id="2"/>
      <w:bookmarkEnd w:id="3"/>
      <w:bookmarkEnd w:id="4"/>
      <w:bookmarkEnd w:id="5"/>
      <w:bookmarkEnd w:id="6"/>
      <w:bookmarkEnd w:id="7"/>
      <w:bookmarkEnd w:id="8"/>
    </w:p>
    <w:p w14:paraId="3E054D65">
      <w:pPr>
        <w:pStyle w:val="3"/>
        <w:rPr>
          <w:rFonts w:ascii="楷体" w:hAnsi="楷体" w:eastAsia="楷体" w:cs="楷体"/>
          <w:sz w:val="32"/>
          <w:szCs w:val="32"/>
        </w:rPr>
      </w:pPr>
      <w:bookmarkStart w:id="9" w:name="_Toc17233326"/>
      <w:bookmarkStart w:id="10" w:name="_Toc26648466"/>
      <w:bookmarkStart w:id="11" w:name="_Toc26986531"/>
      <w:bookmarkStart w:id="12" w:name="_Toc17233334"/>
      <w:bookmarkStart w:id="13" w:name="_Toc26718931"/>
      <w:bookmarkStart w:id="14" w:name="_Toc24884219"/>
      <w:bookmarkStart w:id="15" w:name="_Toc24884212"/>
      <w:bookmarkStart w:id="16" w:name="_Toc97192965"/>
      <w:bookmarkStart w:id="17" w:name="_Toc26986772"/>
      <w:r>
        <w:rPr>
          <w:rFonts w:hint="eastAsia" w:ascii="楷体" w:hAnsi="楷体" w:eastAsia="楷体" w:cs="楷体"/>
          <w:sz w:val="32"/>
          <w:szCs w:val="32"/>
        </w:rPr>
        <w:t>本文件规定了液体化工品数字化仓库的基本要求、技术要求和管理要求。本文件适用于液体化工品数字化仓库建设及运营管理。</w:t>
      </w:r>
      <w:bookmarkEnd w:id="9"/>
      <w:bookmarkEnd w:id="10"/>
      <w:bookmarkEnd w:id="11"/>
      <w:bookmarkEnd w:id="12"/>
      <w:bookmarkEnd w:id="13"/>
      <w:bookmarkEnd w:id="14"/>
      <w:bookmarkEnd w:id="15"/>
      <w:bookmarkEnd w:id="16"/>
      <w:bookmarkEnd w:id="17"/>
    </w:p>
    <w:p w14:paraId="4BB876C9">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2 规范性引用文件</w:t>
      </w:r>
    </w:p>
    <w:p w14:paraId="46EA9551">
      <w:pPr>
        <w:pStyle w:val="3"/>
        <w:spacing w:line="360" w:lineRule="auto"/>
        <w:ind w:firstLine="482"/>
        <w:rPr>
          <w:rFonts w:ascii="楷体" w:hAnsi="楷体" w:eastAsia="楷体" w:cs="楷体"/>
          <w:sz w:val="32"/>
          <w:szCs w:val="32"/>
        </w:rPr>
      </w:pPr>
      <w:r>
        <w:rPr>
          <w:rFonts w:hint="eastAsia" w:ascii="楷体" w:hAnsi="楷体" w:eastAsia="楷体" w:cs="楷体"/>
          <w:sz w:val="32"/>
          <w:szCs w:val="32"/>
        </w:rPr>
        <w:t xml:space="preserve">本标准主要引用以下标准化文件： </w:t>
      </w:r>
      <w:bookmarkStart w:id="18" w:name="_Toc97192966"/>
    </w:p>
    <w:p w14:paraId="4C9BEBEF">
      <w:pPr>
        <w:ind w:firstLine="960" w:firstLineChars="300"/>
        <w:rPr>
          <w:rFonts w:hint="eastAsia" w:ascii="楷体" w:hAnsi="楷体" w:eastAsia="楷体" w:cs="楷体"/>
          <w:sz w:val="32"/>
          <w:szCs w:val="32"/>
        </w:rPr>
      </w:pPr>
      <w:r>
        <w:rPr>
          <w:rFonts w:hint="eastAsia" w:ascii="楷体" w:hAnsi="楷体" w:eastAsia="楷体" w:cs="楷体"/>
          <w:sz w:val="32"/>
          <w:szCs w:val="32"/>
        </w:rPr>
        <w:t xml:space="preserve">GB/T　41479—2022　信息安全技术网络数据处理安全要求 </w:t>
      </w:r>
    </w:p>
    <w:p w14:paraId="7EE4FC62">
      <w:pPr>
        <w:ind w:firstLine="960" w:firstLineChars="300"/>
        <w:rPr>
          <w:rFonts w:hint="eastAsia" w:ascii="楷体" w:hAnsi="楷体" w:eastAsia="楷体" w:cs="楷体"/>
          <w:sz w:val="32"/>
          <w:szCs w:val="32"/>
        </w:rPr>
      </w:pPr>
      <w:r>
        <w:rPr>
          <w:rFonts w:hint="eastAsia" w:ascii="楷体" w:hAnsi="楷体" w:eastAsia="楷体" w:cs="楷体"/>
          <w:sz w:val="32"/>
          <w:szCs w:val="32"/>
        </w:rPr>
        <w:t>GB　50116　火灾自动报警系统设计规范</w:t>
      </w:r>
    </w:p>
    <w:p w14:paraId="24B599D4">
      <w:pPr>
        <w:ind w:firstLine="960" w:firstLineChars="300"/>
        <w:rPr>
          <w:rFonts w:hint="eastAsia" w:ascii="楷体" w:hAnsi="楷体" w:eastAsia="楷体" w:cs="楷体"/>
          <w:sz w:val="32"/>
          <w:szCs w:val="32"/>
        </w:rPr>
      </w:pPr>
      <w:r>
        <w:rPr>
          <w:rFonts w:hint="eastAsia" w:ascii="楷体" w:hAnsi="楷体" w:eastAsia="楷体" w:cs="楷体"/>
          <w:sz w:val="32"/>
          <w:szCs w:val="32"/>
        </w:rPr>
        <w:t>WB/T　1118　数字化仓库基本要求</w:t>
      </w:r>
    </w:p>
    <w:p w14:paraId="6C90018C">
      <w:pPr>
        <w:ind w:firstLine="960" w:firstLineChars="300"/>
        <w:rPr>
          <w:rFonts w:hint="eastAsia" w:ascii="楷体" w:hAnsi="楷体" w:eastAsia="楷体" w:cs="楷体"/>
          <w:sz w:val="32"/>
          <w:szCs w:val="32"/>
        </w:rPr>
      </w:pPr>
      <w:r>
        <w:rPr>
          <w:rFonts w:hint="eastAsia" w:ascii="楷体" w:hAnsi="楷体" w:eastAsia="楷体" w:cs="楷体"/>
          <w:sz w:val="32"/>
          <w:szCs w:val="32"/>
        </w:rPr>
        <w:t>AQ　3035—2010　危险化学品重大危险源安全监控通用技术规范</w:t>
      </w:r>
    </w:p>
    <w:p w14:paraId="5D19FE33">
      <w:pPr>
        <w:ind w:firstLine="960" w:firstLineChars="300"/>
        <w:rPr>
          <w:rFonts w:ascii="楷体" w:hAnsi="楷体" w:eastAsia="楷体" w:cs="楷体"/>
          <w:sz w:val="32"/>
          <w:szCs w:val="32"/>
        </w:rPr>
      </w:pPr>
      <w:r>
        <w:rPr>
          <w:rFonts w:hint="eastAsia" w:ascii="楷体" w:hAnsi="楷体" w:eastAsia="楷体" w:cs="楷体"/>
          <w:sz w:val="32"/>
          <w:szCs w:val="32"/>
        </w:rPr>
        <w:t xml:space="preserve">AQ　3036—2010　危险化学品重大危险源罐区现场安全监控装备设置规范  </w:t>
      </w:r>
    </w:p>
    <w:p w14:paraId="414282DF">
      <w:pPr>
        <w:pStyle w:val="5"/>
        <w:tabs>
          <w:tab w:val="left" w:pos="1219"/>
        </w:tabs>
        <w:spacing w:before="161"/>
        <w:ind w:left="1219" w:hanging="359"/>
        <w:rPr>
          <w:rFonts w:ascii="楷体" w:hAnsi="楷体" w:eastAsia="楷体" w:cs="楷体"/>
          <w:b w:val="0"/>
          <w:bCs w:val="0"/>
          <w:kern w:val="2"/>
          <w:sz w:val="32"/>
          <w:szCs w:val="32"/>
        </w:rPr>
      </w:pPr>
      <w:r>
        <w:rPr>
          <w:rFonts w:hint="eastAsia" w:ascii="楷体" w:hAnsi="楷体" w:eastAsia="楷体" w:cs="楷体"/>
          <w:b w:val="0"/>
          <w:bCs w:val="0"/>
          <w:kern w:val="2"/>
          <w:sz w:val="32"/>
          <w:szCs w:val="32"/>
        </w:rPr>
        <w:t>3 术语和定义</w:t>
      </w:r>
      <w:bookmarkEnd w:id="18"/>
      <w:bookmarkStart w:id="19" w:name="_Toc26986532"/>
      <w:bookmarkEnd w:id="19"/>
    </w:p>
    <w:p w14:paraId="43F33129">
      <w:pPr>
        <w:pStyle w:val="27"/>
        <w:spacing w:before="156" w:beforeLines="50" w:after="156" w:afterLines="50"/>
        <w:ind w:firstLine="640"/>
        <w:rPr>
          <w:rFonts w:ascii="楷体" w:hAnsi="楷体" w:eastAsia="楷体" w:cs="楷体"/>
          <w:kern w:val="2"/>
          <w:sz w:val="32"/>
          <w:szCs w:val="32"/>
        </w:rPr>
      </w:pPr>
      <w:r>
        <w:rPr>
          <w:rFonts w:hint="eastAsia" w:ascii="楷体" w:hAnsi="楷体" w:eastAsia="楷体" w:cs="楷体"/>
          <w:kern w:val="2"/>
          <w:sz w:val="32"/>
          <w:szCs w:val="32"/>
        </w:rPr>
        <w:t>3.1数字化仓库：以仓储活动为基础，以数字化技术和设备设施为保障，用数据连接仓库活动各环节，对仓储活动过程进行规划、管理、诊断和优化的仓库。</w:t>
      </w:r>
    </w:p>
    <w:p w14:paraId="2D30BA52">
      <w:pPr>
        <w:pStyle w:val="27"/>
        <w:spacing w:before="156" w:beforeLines="50" w:after="156" w:afterLines="50"/>
        <w:ind w:firstLine="640"/>
        <w:rPr>
          <w:rFonts w:ascii="楷体" w:hAnsi="楷体" w:eastAsia="楷体" w:cs="楷体"/>
          <w:kern w:val="2"/>
          <w:sz w:val="32"/>
          <w:szCs w:val="32"/>
        </w:rPr>
      </w:pPr>
      <w:r>
        <w:rPr>
          <w:rFonts w:hint="eastAsia" w:ascii="楷体" w:hAnsi="楷体" w:eastAsia="楷体" w:cs="楷体"/>
          <w:kern w:val="2"/>
          <w:sz w:val="32"/>
          <w:szCs w:val="32"/>
        </w:rPr>
        <w:t>说明：数字化仓库作为本文件的理论概念，为了便于理解和实施本文件，本文件再次说明了数字化仓库的定义，于WB/T 1118-2022中3.4的定义，</w:t>
      </w:r>
      <w:r>
        <w:rPr>
          <w:rFonts w:hint="eastAsia" w:ascii="楷体" w:hAnsi="楷体" w:eastAsia="楷体" w:cs="楷体"/>
          <w:sz w:val="32"/>
          <w:szCs w:val="32"/>
        </w:rPr>
        <w:t>有修改，</w:t>
      </w:r>
      <w:r>
        <w:rPr>
          <w:rFonts w:hint="eastAsia" w:ascii="楷体" w:hAnsi="楷体" w:eastAsia="楷体" w:cs="楷体"/>
          <w:kern w:val="2"/>
          <w:sz w:val="32"/>
          <w:szCs w:val="32"/>
        </w:rPr>
        <w:t>根据液体化工仓库的商业特点，用仓储表述范围偏小，应突出仓库为重点，因此将仓储分别改为储存和仓库。</w:t>
      </w:r>
    </w:p>
    <w:p w14:paraId="79BB5E2D">
      <w:pPr>
        <w:pStyle w:val="3"/>
        <w:adjustRightInd w:val="0"/>
        <w:snapToGrid w:val="0"/>
        <w:spacing w:line="360" w:lineRule="auto"/>
        <w:ind w:firstLine="482"/>
        <w:rPr>
          <w:rFonts w:ascii="楷体" w:hAnsi="楷体" w:eastAsia="楷体" w:cs="楷体"/>
          <w:sz w:val="32"/>
          <w:szCs w:val="32"/>
        </w:rPr>
      </w:pPr>
      <w:r>
        <w:rPr>
          <w:rFonts w:hint="eastAsia" w:ascii="楷体" w:hAnsi="楷体" w:eastAsia="楷体" w:cs="楷体"/>
          <w:sz w:val="32"/>
          <w:szCs w:val="32"/>
        </w:rPr>
        <w:t>3.2液体化工品数字化仓库：用于储存液体化工品的数字化仓库。</w:t>
      </w:r>
    </w:p>
    <w:p w14:paraId="0A425AF4">
      <w:pPr>
        <w:pStyle w:val="3"/>
        <w:adjustRightInd w:val="0"/>
        <w:snapToGrid w:val="0"/>
        <w:spacing w:line="360" w:lineRule="auto"/>
        <w:ind w:firstLine="482"/>
        <w:rPr>
          <w:rFonts w:ascii="楷体" w:hAnsi="楷体" w:eastAsia="楷体" w:cs="楷体"/>
          <w:sz w:val="32"/>
          <w:szCs w:val="32"/>
        </w:rPr>
      </w:pPr>
      <w:r>
        <w:rPr>
          <w:rFonts w:hint="eastAsia" w:ascii="楷体" w:hAnsi="楷体" w:eastAsia="楷体" w:cs="楷体"/>
          <w:sz w:val="32"/>
          <w:szCs w:val="32"/>
        </w:rPr>
        <w:t>说明：液体化工品数字化仓库是本文件的核心术语，基于条款3.1数字化仓库的定义、结合液体化工品的自身的特殊性做此定义。</w:t>
      </w:r>
    </w:p>
    <w:p w14:paraId="578D713D">
      <w:pPr>
        <w:pStyle w:val="3"/>
        <w:adjustRightInd w:val="0"/>
        <w:snapToGrid w:val="0"/>
        <w:spacing w:line="360" w:lineRule="auto"/>
        <w:ind w:firstLine="482"/>
        <w:rPr>
          <w:rFonts w:ascii="楷体" w:hAnsi="楷体" w:eastAsia="楷体" w:cs="楷体"/>
          <w:sz w:val="32"/>
          <w:szCs w:val="32"/>
        </w:rPr>
      </w:pPr>
      <w:r>
        <w:rPr>
          <w:rFonts w:hint="eastAsia" w:ascii="楷体" w:hAnsi="楷体" w:eastAsia="楷体" w:cs="楷体"/>
          <w:sz w:val="32"/>
          <w:szCs w:val="32"/>
        </w:rPr>
        <w:t>3.3物联网：通过感知设备，按照约定协议，连接物、人、系统和信息资源，实现对物理和虚拟世界的信息进行处理并做出反应的智能服务系统。</w:t>
      </w:r>
    </w:p>
    <w:p w14:paraId="6F341E50">
      <w:pPr>
        <w:pStyle w:val="3"/>
        <w:adjustRightInd w:val="0"/>
        <w:snapToGrid w:val="0"/>
        <w:spacing w:line="360" w:lineRule="auto"/>
        <w:ind w:firstLine="482"/>
        <w:rPr>
          <w:rFonts w:ascii="楷体" w:hAnsi="楷体" w:eastAsia="楷体" w:cs="楷体"/>
          <w:sz w:val="32"/>
          <w:szCs w:val="32"/>
        </w:rPr>
      </w:pPr>
      <w:r>
        <w:rPr>
          <w:rFonts w:hint="eastAsia" w:ascii="楷体" w:hAnsi="楷体" w:eastAsia="楷体" w:cs="楷体"/>
          <w:sz w:val="32"/>
          <w:szCs w:val="32"/>
        </w:rPr>
        <w:t>说明：该术语来源于GB/T 33745-2017 中 2.1.1 的定义。</w:t>
      </w:r>
    </w:p>
    <w:p w14:paraId="097B0DAF">
      <w:pPr>
        <w:pStyle w:val="5"/>
        <w:tabs>
          <w:tab w:val="left" w:pos="1219"/>
        </w:tabs>
        <w:spacing w:before="161"/>
        <w:ind w:left="1219" w:hanging="359"/>
        <w:rPr>
          <w:rFonts w:ascii="楷体" w:hAnsi="楷体" w:eastAsia="楷体" w:cs="楷体"/>
          <w:b w:val="0"/>
          <w:bCs w:val="0"/>
          <w:kern w:val="2"/>
          <w:sz w:val="32"/>
          <w:szCs w:val="32"/>
        </w:rPr>
      </w:pPr>
      <w:r>
        <w:rPr>
          <w:rFonts w:hint="eastAsia" w:ascii="楷体" w:hAnsi="楷体" w:eastAsia="楷体" w:cs="楷体"/>
          <w:b w:val="0"/>
          <w:bCs w:val="0"/>
          <w:kern w:val="2"/>
          <w:sz w:val="32"/>
          <w:szCs w:val="32"/>
        </w:rPr>
        <w:t>4 缩略语</w:t>
      </w:r>
    </w:p>
    <w:p w14:paraId="3C20CEAD">
      <w:pPr>
        <w:pStyle w:val="3"/>
        <w:rPr>
          <w:rFonts w:ascii="楷体" w:hAnsi="楷体" w:eastAsia="楷体" w:cs="楷体"/>
          <w:sz w:val="32"/>
          <w:szCs w:val="32"/>
        </w:rPr>
      </w:pPr>
      <w:r>
        <w:rPr>
          <w:rFonts w:hint="eastAsia" w:ascii="楷体" w:hAnsi="楷体" w:eastAsia="楷体" w:cs="楷体"/>
          <w:sz w:val="32"/>
          <w:szCs w:val="32"/>
        </w:rPr>
        <w:t>此章节列出了本标准中所涉及的重要缩略语。</w:t>
      </w:r>
    </w:p>
    <w:p w14:paraId="0DF5DFF7">
      <w:pPr>
        <w:pStyle w:val="5"/>
        <w:tabs>
          <w:tab w:val="left" w:pos="1219"/>
        </w:tabs>
        <w:spacing w:before="161"/>
        <w:ind w:left="1219" w:hanging="359"/>
        <w:rPr>
          <w:rFonts w:ascii="楷体" w:hAnsi="楷体" w:eastAsia="楷体" w:cs="楷体"/>
          <w:b w:val="0"/>
          <w:bCs w:val="0"/>
          <w:kern w:val="2"/>
          <w:sz w:val="32"/>
          <w:szCs w:val="32"/>
        </w:rPr>
      </w:pPr>
      <w:r>
        <w:rPr>
          <w:rFonts w:hint="eastAsia" w:ascii="楷体" w:hAnsi="楷体" w:eastAsia="楷体" w:cs="楷体"/>
          <w:b w:val="0"/>
          <w:bCs w:val="0"/>
          <w:kern w:val="2"/>
          <w:sz w:val="32"/>
          <w:szCs w:val="32"/>
        </w:rPr>
        <w:t>5 基本要求</w:t>
      </w:r>
    </w:p>
    <w:p w14:paraId="2C9DC0F4">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5.1 数字化建设要求</w:t>
      </w:r>
    </w:p>
    <w:p w14:paraId="3B000949">
      <w:pPr>
        <w:pStyle w:val="3"/>
        <w:rPr>
          <w:rFonts w:ascii="楷体" w:hAnsi="楷体" w:eastAsia="楷体" w:cs="楷体"/>
          <w:sz w:val="32"/>
          <w:szCs w:val="32"/>
        </w:rPr>
      </w:pPr>
      <w:r>
        <w:rPr>
          <w:rFonts w:hint="eastAsia" w:ascii="楷体" w:hAnsi="楷体" w:eastAsia="楷体" w:cs="楷体"/>
          <w:sz w:val="32"/>
          <w:szCs w:val="32"/>
        </w:rPr>
        <w:t>本标准是 WB/T 1118-2022 的下位标准，除了液体化工品仓库的具体特点外，其他方面需要满足上位标准的要求，为了避免重复，直接应用上位标准。液体化工品数字化仓库的建设、运营和管理涉及复杂的多层次系统整合和高标准的安全要求，需要配置数据采集、分析、存储设备，以及网络基础设施。此外，需配备装车设备、输送设施、消防监控设备、安防监控设备、计量设施设备、车辆道闸等，确保数字化作业的高效与安全。</w:t>
      </w:r>
    </w:p>
    <w:p w14:paraId="0D3E78E3">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5.2 数据基础设施设备要求</w:t>
      </w:r>
    </w:p>
    <w:p w14:paraId="30B05E2E">
      <w:pPr>
        <w:pStyle w:val="3"/>
        <w:rPr>
          <w:rFonts w:ascii="楷体" w:hAnsi="楷体" w:eastAsia="楷体" w:cs="楷体"/>
          <w:sz w:val="32"/>
          <w:szCs w:val="32"/>
        </w:rPr>
      </w:pPr>
      <w:r>
        <w:rPr>
          <w:rFonts w:hint="eastAsia" w:ascii="楷体" w:hAnsi="楷体" w:eastAsia="楷体" w:cs="楷体"/>
          <w:sz w:val="32"/>
          <w:szCs w:val="32"/>
        </w:rPr>
        <w:t>在液体化工品数字化仓库中，数据基础设施设备是实现数字化运营的核心要素。这些设备包括数据采集设施、分析设施、存储服务器及网络设施等，均需符合相应的行业标准，以确保其在仓库环境中的可靠性和安全性。与此同时，这些设备必须具备较高的通讯能力和防爆等级，满足特定环境下的使用需求。</w:t>
      </w:r>
    </w:p>
    <w:p w14:paraId="6D59D552">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5.3 数字化仓库软件系统要求</w:t>
      </w:r>
    </w:p>
    <w:p w14:paraId="01BD4BB1">
      <w:pPr>
        <w:pStyle w:val="3"/>
        <w:rPr>
          <w:rFonts w:ascii="楷体" w:hAnsi="楷体" w:eastAsia="楷体" w:cs="楷体"/>
          <w:sz w:val="32"/>
          <w:szCs w:val="32"/>
        </w:rPr>
      </w:pPr>
      <w:r>
        <w:rPr>
          <w:rFonts w:hint="eastAsia" w:ascii="楷体" w:hAnsi="楷体" w:eastAsia="楷体" w:cs="楷体"/>
          <w:sz w:val="32"/>
          <w:szCs w:val="32"/>
        </w:rPr>
        <w:t>液体化工品的仓储管理需要高度集成的信息化系统支持，以实现各类设施设备的高效协同。仓库的软件系统不仅需支持多种设备的接入协议与身份认证，还应具备数据转发、存储、溯源等功能。</w:t>
      </w:r>
    </w:p>
    <w:p w14:paraId="007085E2">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5.4 数字化仓库技术要求</w:t>
      </w:r>
    </w:p>
    <w:p w14:paraId="4A724182">
      <w:pPr>
        <w:pStyle w:val="3"/>
        <w:rPr>
          <w:rFonts w:ascii="楷体" w:hAnsi="楷体" w:eastAsia="楷体" w:cs="楷体"/>
          <w:sz w:val="32"/>
          <w:szCs w:val="32"/>
        </w:rPr>
      </w:pPr>
      <w:r>
        <w:rPr>
          <w:rFonts w:hint="eastAsia" w:ascii="楷体" w:hAnsi="楷体" w:eastAsia="楷体" w:cs="楷体"/>
          <w:sz w:val="32"/>
          <w:szCs w:val="32"/>
        </w:rPr>
        <w:t>为了提升仓库管理的智能化水平，要求系统能够应用物联网、云计算、5G、大数据、AI、AR等先进的信息技术，构建并管理仓库的应用场景。</w:t>
      </w:r>
    </w:p>
    <w:p w14:paraId="0D2CFE39">
      <w:pPr>
        <w:pStyle w:val="5"/>
        <w:tabs>
          <w:tab w:val="left" w:pos="1219"/>
        </w:tabs>
        <w:spacing w:before="161"/>
        <w:ind w:left="1219" w:hanging="359"/>
        <w:rPr>
          <w:rFonts w:ascii="楷体" w:hAnsi="楷体" w:eastAsia="楷体" w:cs="楷体"/>
          <w:b w:val="0"/>
          <w:bCs w:val="0"/>
          <w:kern w:val="2"/>
          <w:sz w:val="32"/>
          <w:szCs w:val="32"/>
        </w:rPr>
      </w:pPr>
      <w:r>
        <w:rPr>
          <w:rFonts w:hint="eastAsia" w:ascii="楷体" w:hAnsi="楷体" w:eastAsia="楷体" w:cs="楷体"/>
          <w:b w:val="0"/>
          <w:bCs w:val="0"/>
          <w:kern w:val="2"/>
          <w:sz w:val="32"/>
          <w:szCs w:val="32"/>
        </w:rPr>
        <w:t>6. 技术要求</w:t>
      </w:r>
    </w:p>
    <w:p w14:paraId="12219A24">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 xml:space="preserve">6.1 数据基础设施设备  </w:t>
      </w:r>
    </w:p>
    <w:p w14:paraId="11643ABE">
      <w:pPr>
        <w:pStyle w:val="3"/>
        <w:rPr>
          <w:rFonts w:ascii="楷体" w:hAnsi="楷体" w:eastAsia="楷体" w:cs="楷体"/>
          <w:sz w:val="32"/>
          <w:szCs w:val="32"/>
        </w:rPr>
      </w:pPr>
      <w:r>
        <w:rPr>
          <w:rFonts w:hint="eastAsia" w:ascii="楷体" w:hAnsi="楷体" w:eastAsia="楷体" w:cs="楷体"/>
          <w:sz w:val="32"/>
          <w:szCs w:val="32"/>
        </w:rPr>
        <w:t>液体化工品数字化仓库的运营安全高度依赖于数据基础设施的稳定性和功能完整性。为了确保仓库内各类作业的安全和效率，对数据基础设施设备的各项功能提出了具体要求。</w:t>
      </w:r>
    </w:p>
    <w:p w14:paraId="075E1DF6">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6.1.1 数据通讯能力</w:t>
      </w:r>
    </w:p>
    <w:p w14:paraId="395FB608">
      <w:pPr>
        <w:pStyle w:val="3"/>
        <w:rPr>
          <w:rFonts w:ascii="楷体" w:hAnsi="楷体" w:eastAsia="楷体" w:cs="楷体"/>
          <w:sz w:val="32"/>
          <w:szCs w:val="32"/>
        </w:rPr>
      </w:pPr>
      <w:r>
        <w:rPr>
          <w:rFonts w:hint="eastAsia" w:ascii="楷体" w:hAnsi="楷体" w:eastAsia="楷体" w:cs="楷体"/>
          <w:sz w:val="32"/>
          <w:szCs w:val="32"/>
        </w:rPr>
        <w:t>由于液体化工品数字化仓库需要实时监控和管理各类数据，数据基础设施设备必须具备高效的通讯能力，以确保数据传输的准确性和及时性。</w:t>
      </w:r>
    </w:p>
    <w:p w14:paraId="27D72D5F">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 xml:space="preserve">6.1.2 控制设备的技术质量与防爆要求 </w:t>
      </w:r>
    </w:p>
    <w:p w14:paraId="04F44E89">
      <w:pPr>
        <w:pStyle w:val="3"/>
        <w:rPr>
          <w:rFonts w:ascii="楷体" w:hAnsi="楷体" w:eastAsia="楷体" w:cs="楷体"/>
          <w:sz w:val="32"/>
          <w:szCs w:val="32"/>
        </w:rPr>
      </w:pPr>
      <w:r>
        <w:rPr>
          <w:rFonts w:hint="eastAsia" w:ascii="楷体" w:hAnsi="楷体" w:eastAsia="楷体" w:cs="楷体"/>
          <w:sz w:val="32"/>
          <w:szCs w:val="32"/>
        </w:rPr>
        <w:t>考虑到液体化工品的特殊性质，控制设备不仅要符合行业的技术质量标准，还必须达到使用场所的防爆等级要求，特别是在易燃易爆的环境中，防爆性能至关重要。</w:t>
      </w:r>
    </w:p>
    <w:p w14:paraId="59A2406D">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6.1.3 传感设备的选型标准</w:t>
      </w:r>
    </w:p>
    <w:p w14:paraId="408E7F8C">
      <w:pPr>
        <w:pStyle w:val="3"/>
        <w:rPr>
          <w:rFonts w:ascii="楷体" w:hAnsi="楷体" w:eastAsia="楷体" w:cs="楷体"/>
          <w:sz w:val="32"/>
          <w:szCs w:val="32"/>
        </w:rPr>
      </w:pPr>
      <w:r>
        <w:rPr>
          <w:rFonts w:hint="eastAsia" w:ascii="楷体" w:hAnsi="楷体" w:eastAsia="楷体" w:cs="楷体"/>
          <w:sz w:val="32"/>
          <w:szCs w:val="32"/>
        </w:rPr>
        <w:t>为了应对液体化工品存储和操作过程中可能出现的极端环境，传感设备的选择必须符合AQ　3035-2010第4章至第6章的标准，以确保设备的可靠性和数据的准确性。</w:t>
      </w:r>
    </w:p>
    <w:p w14:paraId="1FA2AA4E">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6.1.4 装车设备</w:t>
      </w:r>
    </w:p>
    <w:p w14:paraId="3E6C4462">
      <w:pPr>
        <w:pStyle w:val="3"/>
        <w:rPr>
          <w:rFonts w:ascii="楷体" w:hAnsi="楷体" w:eastAsia="楷体" w:cs="楷体"/>
          <w:sz w:val="32"/>
          <w:szCs w:val="32"/>
        </w:rPr>
      </w:pPr>
      <w:r>
        <w:rPr>
          <w:rFonts w:hint="eastAsia" w:ascii="楷体" w:hAnsi="楷体" w:eastAsia="楷体" w:cs="楷体"/>
          <w:sz w:val="32"/>
          <w:szCs w:val="32"/>
        </w:rPr>
        <w:t>液体化工品装车过程中，需要装车设备具备定量罐装控制、静电及溢油异常声光报警、安全联锁、动态监控以及历史查询等功能，并支持装车数据实时传输至数字化仓库软件系统，以保障操作的安全性、数据的准确性和操作记录的可追溯性。</w:t>
      </w:r>
    </w:p>
    <w:p w14:paraId="37119094">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6.1.5 输送设施</w:t>
      </w:r>
    </w:p>
    <w:p w14:paraId="37E44B64">
      <w:pPr>
        <w:pStyle w:val="3"/>
        <w:rPr>
          <w:rFonts w:ascii="楷体" w:hAnsi="楷体" w:eastAsia="楷体" w:cs="楷体"/>
          <w:sz w:val="32"/>
          <w:szCs w:val="32"/>
        </w:rPr>
      </w:pPr>
      <w:r>
        <w:rPr>
          <w:rFonts w:hint="eastAsia" w:ascii="楷体" w:hAnsi="楷体" w:eastAsia="楷体" w:cs="楷体"/>
          <w:sz w:val="32"/>
          <w:szCs w:val="32"/>
        </w:rPr>
        <w:t>为了保证液体化工品输送的安全与效率，输送设施需具备电压、电流监测及预警功能，并与装车设施联锁，同时支持输送数据的实时传输至数字化仓库软件系统，确保作业过程的顺畅与安全。</w:t>
      </w:r>
    </w:p>
    <w:p w14:paraId="799A5864">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 xml:space="preserve">6.1.6 消防、安防监控设备  </w:t>
      </w:r>
    </w:p>
    <w:p w14:paraId="313DF894">
      <w:pPr>
        <w:pStyle w:val="3"/>
        <w:rPr>
          <w:rFonts w:ascii="楷体" w:hAnsi="楷体" w:eastAsia="楷体" w:cs="楷体"/>
          <w:sz w:val="32"/>
          <w:szCs w:val="32"/>
        </w:rPr>
      </w:pPr>
      <w:r>
        <w:rPr>
          <w:rFonts w:hint="eastAsia" w:ascii="楷体" w:hAnsi="楷体" w:eastAsia="楷体" w:cs="楷体"/>
          <w:sz w:val="32"/>
          <w:szCs w:val="32"/>
        </w:rPr>
        <w:t>消防与安防监控设备在液体化工品仓库中扮演着至关重要的角色，它们需具备在低光条件下拍摄清晰影像的能力，并能识别安全隐患，提供预警功能。设备的安装和设置需符合AQ　3036-2010第10章的规定，并与火灾自动报警系统联动，火灾报警系统则需符合GB　50116及AQ　3036-2010第9章的要求。</w:t>
      </w:r>
    </w:p>
    <w:p w14:paraId="195729A0">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6.1.7 计量设施设备</w:t>
      </w:r>
    </w:p>
    <w:p w14:paraId="3FE49719">
      <w:pPr>
        <w:pStyle w:val="3"/>
        <w:rPr>
          <w:rFonts w:ascii="楷体" w:hAnsi="楷体" w:eastAsia="楷体" w:cs="楷体"/>
          <w:sz w:val="32"/>
          <w:szCs w:val="32"/>
        </w:rPr>
      </w:pPr>
      <w:r>
        <w:rPr>
          <w:rFonts w:hint="eastAsia" w:ascii="楷体" w:hAnsi="楷体" w:eastAsia="楷体" w:cs="楷体"/>
          <w:sz w:val="32"/>
          <w:szCs w:val="32"/>
        </w:rPr>
        <w:t>在液体化工品的出入库过程中，无论是通过管道还是车辆运输，均需配备数字化计量器具，确保计量数据的准确性，并将这些数据传输至数字化仓库软件系统。此外，在立式金属罐内，还需配备雷达液位仪、温度传感器和压力传感器等设备，将液位高度、温度和压力数据实时传输至系统,实时显示罐容数据等。</w:t>
      </w:r>
    </w:p>
    <w:p w14:paraId="7BEE2B39">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 xml:space="preserve">6.1.8 车辆道闸  </w:t>
      </w:r>
    </w:p>
    <w:p w14:paraId="3FB4453D">
      <w:pPr>
        <w:pStyle w:val="3"/>
        <w:rPr>
          <w:rFonts w:ascii="楷体" w:hAnsi="楷体" w:eastAsia="楷体" w:cs="楷体"/>
          <w:sz w:val="32"/>
          <w:szCs w:val="32"/>
        </w:rPr>
      </w:pPr>
      <w:r>
        <w:rPr>
          <w:rFonts w:hint="eastAsia" w:ascii="楷体" w:hAnsi="楷体" w:eastAsia="楷体" w:cs="楷体"/>
          <w:sz w:val="32"/>
          <w:szCs w:val="32"/>
        </w:rPr>
        <w:t>车辆道闸在液体化工品仓库中的作用不仅限于控制车辆的进出，还需具备根据预约业务信息准入或放行车辆的功能，并能识别车辆号码和进出时间，将这些数据传输至数字化仓库软件系统，以优化仓库的运营管理。</w:t>
      </w:r>
    </w:p>
    <w:p w14:paraId="4D2E53EE">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6.2 数字化仓库软件系统</w:t>
      </w:r>
    </w:p>
    <w:p w14:paraId="67726C1A">
      <w:pPr>
        <w:pStyle w:val="3"/>
        <w:rPr>
          <w:rFonts w:ascii="楷体" w:hAnsi="楷体" w:eastAsia="楷体" w:cs="楷体"/>
          <w:sz w:val="32"/>
          <w:szCs w:val="32"/>
        </w:rPr>
      </w:pPr>
      <w:r>
        <w:rPr>
          <w:rFonts w:hint="eastAsia" w:ascii="楷体" w:hAnsi="楷体" w:eastAsia="楷体" w:cs="楷体"/>
          <w:sz w:val="32"/>
          <w:szCs w:val="32"/>
        </w:rPr>
        <w:t>液体化工品数字化仓库的核心在于软件系统的功能设计，该系统需要对接多种外部系统，并具备全面的仓库管理功能、设备管理功能和安全管理功能，以实现仓库运营的高度数字化和智能化。</w:t>
      </w:r>
    </w:p>
    <w:p w14:paraId="27F5FE5D">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 xml:space="preserve">6.2.1 基本功能  </w:t>
      </w:r>
    </w:p>
    <w:p w14:paraId="232C0F54">
      <w:pPr>
        <w:pStyle w:val="3"/>
        <w:rPr>
          <w:rFonts w:ascii="楷体" w:hAnsi="楷体" w:eastAsia="楷体" w:cs="楷体"/>
          <w:sz w:val="32"/>
          <w:szCs w:val="32"/>
        </w:rPr>
      </w:pPr>
      <w:r>
        <w:rPr>
          <w:rFonts w:hint="eastAsia" w:ascii="楷体" w:hAnsi="楷体" w:eastAsia="楷体" w:cs="楷体"/>
          <w:sz w:val="32"/>
          <w:szCs w:val="32"/>
        </w:rPr>
        <w:t>液体化工品数字化仓库的软件系统应具备全面且集成的功能，以确保仓库的高效管理和安全运营。系统需支持与海关、海事、运输、环保、消防等外部系统对接，实现数据的无缝交换。功能涵盖客户管理、出入库管理、库存管理、盘点管理、库区管理、费用结算管理和设备管理，能够优化作业流程，采集设备数据，并实现系统集成。此外，系统还应具备日志管理功能，关联液位、温度、压力、输送泵电压电流、气体浓度和明火感知等设备，支持实时监测，通过图形化方式展示数据变化，并在超出预设阈值时自动报警，确保各类安全隐患的及时识别与应对。系统还应提供安全管理功能，能够设置权限和安全级别，保护系统的安全性和操作的合规性。</w:t>
      </w:r>
    </w:p>
    <w:p w14:paraId="0A3C49F1">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 xml:space="preserve">6.2.2 设备管理功能 </w:t>
      </w:r>
    </w:p>
    <w:p w14:paraId="45ED48FD">
      <w:pPr>
        <w:pStyle w:val="3"/>
        <w:rPr>
          <w:rFonts w:ascii="楷体" w:hAnsi="楷体" w:eastAsia="楷体" w:cs="楷体"/>
          <w:sz w:val="32"/>
          <w:szCs w:val="32"/>
        </w:rPr>
      </w:pPr>
      <w:r>
        <w:rPr>
          <w:rFonts w:hint="eastAsia" w:ascii="楷体" w:hAnsi="楷体" w:eastAsia="楷体" w:cs="楷体"/>
          <w:sz w:val="32"/>
          <w:szCs w:val="32"/>
        </w:rPr>
        <w:t>软件系统还应支持多种联网设备的身份标识方案和物联网协议，能够接入多种联网设备，并获取其采集的原始数据，支持数据的转发、存储和溯源，并能控制联网设备的启停。</w:t>
      </w:r>
    </w:p>
    <w:p w14:paraId="540D4A65">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 xml:space="preserve">6.2.3 提货预约功能 </w:t>
      </w:r>
    </w:p>
    <w:p w14:paraId="1CEBDE75">
      <w:pPr>
        <w:pStyle w:val="3"/>
        <w:rPr>
          <w:rFonts w:ascii="楷体" w:hAnsi="楷体" w:eastAsia="楷体" w:cs="楷体"/>
          <w:sz w:val="32"/>
          <w:szCs w:val="32"/>
        </w:rPr>
      </w:pPr>
      <w:r>
        <w:rPr>
          <w:rFonts w:hint="eastAsia" w:ascii="楷体" w:hAnsi="楷体" w:eastAsia="楷体" w:cs="楷体"/>
          <w:sz w:val="32"/>
          <w:szCs w:val="32"/>
        </w:rPr>
        <w:t>液体化工品仓库的提货流程对效率要求较高 ，数字化仓库系统需提供提货预约和自动取单功能，支持按作业类型分类管理入库、出库操作，并通过车辆排队叫号功能减少等待时间，从而提高提货效率，保障物流顺畅。</w:t>
      </w:r>
    </w:p>
    <w:p w14:paraId="6F8243C3">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 xml:space="preserve">6.2.4 储位功能 </w:t>
      </w:r>
    </w:p>
    <w:p w14:paraId="178F48E9">
      <w:pPr>
        <w:pStyle w:val="3"/>
        <w:rPr>
          <w:rFonts w:ascii="楷体" w:hAnsi="楷体" w:eastAsia="楷体" w:cs="楷体"/>
          <w:sz w:val="32"/>
          <w:szCs w:val="32"/>
        </w:rPr>
      </w:pPr>
      <w:r>
        <w:rPr>
          <w:rFonts w:hint="eastAsia" w:ascii="楷体" w:hAnsi="楷体" w:eastAsia="楷体" w:cs="楷体"/>
          <w:sz w:val="32"/>
          <w:szCs w:val="32"/>
        </w:rPr>
        <w:t>系统需具备通过感知设备采集液位和温度数据，计算仓库内物品的质量，并将仓库储位以图形化形式呈现的功能。此外，系统还应支持数字显示屏展示化工品的种类和质量数据，并记录和比对储位的日均出入库质量。系统应根据实时的存货情况和储位状态，自动选择最合适的储位进行货物存放，通过优化储位分配，提高仓库的存储效率。</w:t>
      </w:r>
    </w:p>
    <w:p w14:paraId="5B3175F3">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 xml:space="preserve">6.2.5 安全管理功能 </w:t>
      </w:r>
    </w:p>
    <w:p w14:paraId="3AFA8DEE">
      <w:pPr>
        <w:pStyle w:val="3"/>
        <w:rPr>
          <w:rFonts w:ascii="楷体" w:hAnsi="楷体" w:eastAsia="楷体" w:cs="楷体"/>
          <w:sz w:val="32"/>
          <w:szCs w:val="32"/>
        </w:rPr>
      </w:pPr>
      <w:r>
        <w:rPr>
          <w:rFonts w:hint="eastAsia" w:ascii="楷体" w:hAnsi="楷体" w:eastAsia="楷体" w:cs="楷体"/>
          <w:sz w:val="32"/>
          <w:szCs w:val="32"/>
        </w:rPr>
        <w:t>为确保系统的安全性，软件系统应提供可设置的安全级别，通过权限管理限制操作员对系统功能模块和系统资源的访问，以保证系统的安全运行。</w:t>
      </w:r>
    </w:p>
    <w:p w14:paraId="35EB70BB">
      <w:pPr>
        <w:pStyle w:val="5"/>
        <w:tabs>
          <w:tab w:val="left" w:pos="1219"/>
        </w:tabs>
        <w:spacing w:before="161"/>
        <w:ind w:left="1219" w:hanging="359"/>
        <w:rPr>
          <w:rFonts w:ascii="楷体" w:hAnsi="楷体" w:eastAsia="楷体" w:cs="楷体"/>
          <w:b w:val="0"/>
          <w:bCs w:val="0"/>
          <w:kern w:val="2"/>
          <w:sz w:val="32"/>
          <w:szCs w:val="32"/>
        </w:rPr>
      </w:pPr>
      <w:r>
        <w:rPr>
          <w:rFonts w:hint="eastAsia" w:ascii="楷体" w:hAnsi="楷体" w:eastAsia="楷体" w:cs="楷体"/>
          <w:b w:val="0"/>
          <w:bCs w:val="0"/>
          <w:kern w:val="2"/>
          <w:sz w:val="32"/>
          <w:szCs w:val="32"/>
        </w:rPr>
        <w:t>7. 管理要求</w:t>
      </w:r>
    </w:p>
    <w:p w14:paraId="245090C0">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 xml:space="preserve">7.1 编码管理  </w:t>
      </w:r>
    </w:p>
    <w:p w14:paraId="0F87FDEB">
      <w:pPr>
        <w:pStyle w:val="3"/>
        <w:rPr>
          <w:rFonts w:ascii="楷体" w:hAnsi="楷体" w:eastAsia="楷体" w:cs="楷体"/>
          <w:sz w:val="32"/>
          <w:szCs w:val="32"/>
        </w:rPr>
      </w:pPr>
      <w:r>
        <w:rPr>
          <w:rFonts w:hint="eastAsia" w:ascii="楷体" w:hAnsi="楷体" w:eastAsia="楷体" w:cs="楷体"/>
          <w:sz w:val="32"/>
          <w:szCs w:val="32"/>
        </w:rPr>
        <w:t>液体化工品仓库的管理对象种类繁多，包括仓储区、物资、人员、设备等。为了实现系统化的管理，需对这些管理对象进行统一编码，确保各项管理活动的有序进行，减少人为错误，提高管理效率。</w:t>
      </w:r>
    </w:p>
    <w:p w14:paraId="43F1545F">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 xml:space="preserve">7.2 制度管理  </w:t>
      </w:r>
    </w:p>
    <w:p w14:paraId="3A3D6157">
      <w:pPr>
        <w:pStyle w:val="3"/>
        <w:adjustRightInd w:val="0"/>
        <w:snapToGrid w:val="0"/>
        <w:spacing w:before="0" w:line="365" w:lineRule="auto"/>
        <w:ind w:firstLine="482"/>
        <w:rPr>
          <w:rFonts w:ascii="楷体" w:hAnsi="楷体" w:eastAsia="楷体" w:cs="楷体"/>
          <w:sz w:val="32"/>
          <w:szCs w:val="32"/>
        </w:rPr>
      </w:pPr>
      <w:r>
        <w:rPr>
          <w:rFonts w:hint="eastAsia" w:ascii="楷体" w:hAnsi="楷体" w:eastAsia="楷体" w:cs="楷体"/>
          <w:sz w:val="32"/>
          <w:szCs w:val="32"/>
        </w:rPr>
        <w:t>管理制度有助于确保液体化工品数字化仓库的安全性、合规性，提高运营效率，提供管理框架和规则，以确保各方面的管理得到适当的关注和控制。</w:t>
      </w:r>
    </w:p>
    <w:p w14:paraId="70D16832">
      <w:pPr>
        <w:pStyle w:val="3"/>
        <w:adjustRightInd w:val="0"/>
        <w:snapToGrid w:val="0"/>
        <w:spacing w:before="0" w:line="365" w:lineRule="auto"/>
        <w:ind w:firstLine="482"/>
        <w:rPr>
          <w:rFonts w:ascii="楷体" w:hAnsi="楷体" w:eastAsia="楷体" w:cs="楷体"/>
          <w:sz w:val="32"/>
          <w:szCs w:val="32"/>
        </w:rPr>
      </w:pPr>
      <w:r>
        <w:rPr>
          <w:rFonts w:hint="eastAsia" w:ascii="楷体" w:hAnsi="楷体" w:eastAsia="楷体" w:cs="楷体"/>
          <w:sz w:val="32"/>
          <w:szCs w:val="32"/>
        </w:rPr>
        <w:t>数据管理制度：数字化仓库是货物和数据的交割地，是唯一一个数据和货物同步的地方，因此，数据基础制度至关重要，能够满足业务和安全要求，帮助企业丰富数据应用场景优势，激活数据要素潜能，并确保数据资源资产交易得到充分的管理和资产化。</w:t>
      </w:r>
    </w:p>
    <w:p w14:paraId="43452C61">
      <w:pPr>
        <w:pStyle w:val="3"/>
        <w:adjustRightInd w:val="0"/>
        <w:snapToGrid w:val="0"/>
        <w:spacing w:before="0" w:line="365" w:lineRule="auto"/>
        <w:ind w:firstLine="482"/>
        <w:rPr>
          <w:rFonts w:ascii="楷体" w:hAnsi="楷体" w:eastAsia="楷体" w:cs="楷体"/>
          <w:sz w:val="32"/>
          <w:szCs w:val="32"/>
        </w:rPr>
      </w:pPr>
      <w:r>
        <w:rPr>
          <w:rFonts w:hint="eastAsia" w:ascii="楷体" w:hAnsi="楷体" w:eastAsia="楷体" w:cs="楷体"/>
          <w:sz w:val="32"/>
          <w:szCs w:val="32"/>
        </w:rPr>
        <w:t>网络安全管理制度及系统故障处理、系统恢复、应急预案及应急演练等制度：数字化仓库高度依赖于网络安全的稳定运行，为保证其稳定运行，避免病毒的传播，及关键设备被入侵，因此根据《中华人民共和国网络安全法》的要求，应合理调整网格架构，部署必要的安全防护设备，以确保它们能够高效地协同工作。系统故障处理、系统恢复、应急预案以及应急演练等制度：液体化工品数字化仓库依赖于复杂的自动化和信息技术系统来执行各种任务，包括指令处理、库存管理等，这些系统在日常运营中必须保持高度可靠性。系统故障处理、系统恢复以及应急处置等制度可以确保在出现故障时有系统性的方法来处理问题，从而减少业务中断的风险。</w:t>
      </w:r>
    </w:p>
    <w:p w14:paraId="4FC464B2">
      <w:pPr>
        <w:pStyle w:val="3"/>
        <w:adjustRightInd w:val="0"/>
        <w:snapToGrid w:val="0"/>
        <w:spacing w:before="0" w:line="365" w:lineRule="auto"/>
        <w:ind w:firstLine="482"/>
        <w:rPr>
          <w:rFonts w:ascii="楷体" w:hAnsi="楷体" w:eastAsia="楷体" w:cs="楷体"/>
          <w:sz w:val="32"/>
          <w:szCs w:val="32"/>
        </w:rPr>
      </w:pPr>
      <w:r>
        <w:rPr>
          <w:rFonts w:hint="eastAsia" w:ascii="楷体" w:hAnsi="楷体" w:eastAsia="楷体" w:cs="楷体"/>
          <w:sz w:val="32"/>
          <w:szCs w:val="32"/>
        </w:rPr>
        <w:t>库区分类和位置编码管理制度：对化工品库区进行分类和位置编码有助于明确不同类型、等级和来源的液体化工品的存放位置，使仓库管理人员能够追踪库存、监控库存水平以及识别和管理不同的液体化工品储存区域，提高拣选、装载和发货的效率。</w:t>
      </w:r>
    </w:p>
    <w:p w14:paraId="3C57EA3D">
      <w:pPr>
        <w:pStyle w:val="3"/>
        <w:adjustRightInd w:val="0"/>
        <w:snapToGrid w:val="0"/>
        <w:spacing w:before="0" w:line="365" w:lineRule="auto"/>
        <w:ind w:firstLine="482"/>
        <w:rPr>
          <w:rFonts w:ascii="楷体" w:hAnsi="楷体" w:eastAsia="楷体" w:cs="楷体"/>
          <w:sz w:val="32"/>
          <w:szCs w:val="32"/>
        </w:rPr>
      </w:pPr>
      <w:r>
        <w:rPr>
          <w:rFonts w:hint="eastAsia" w:ascii="楷体" w:hAnsi="楷体" w:eastAsia="楷体" w:cs="楷体"/>
          <w:sz w:val="32"/>
          <w:szCs w:val="32"/>
        </w:rPr>
        <w:t>仓储库区人员作业授权制度：由于仓库内可能存在各种安全风险，制定仓储库区人员作业授权制度可以确保只有经过培训和具备必要技能的员工能够执行特定任务，从而降低事故和伤害的风险，此外通过授权制度，可以追踪特定任务的执行人员。如果出现问题或错误，可以更容易地确定责任和采取纠正措施。</w:t>
      </w:r>
    </w:p>
    <w:p w14:paraId="3C366EB3">
      <w:pPr>
        <w:pStyle w:val="3"/>
        <w:adjustRightInd w:val="0"/>
        <w:snapToGrid w:val="0"/>
        <w:spacing w:before="0" w:line="365" w:lineRule="auto"/>
        <w:ind w:firstLine="482"/>
        <w:rPr>
          <w:rFonts w:ascii="楷体" w:hAnsi="楷体" w:eastAsia="楷体" w:cs="楷体"/>
          <w:sz w:val="32"/>
          <w:szCs w:val="32"/>
        </w:rPr>
      </w:pPr>
      <w:r>
        <w:rPr>
          <w:rFonts w:hint="eastAsia" w:ascii="楷体" w:hAnsi="楷体" w:eastAsia="楷体" w:cs="楷体"/>
          <w:sz w:val="32"/>
          <w:szCs w:val="32"/>
        </w:rPr>
        <w:t>设备管理制度：数字化仓库通常依赖于各种设备和技术，自动化机械、传感器等。设备管理制度有助于规划和实施设备的定期维护和保养，确保设备的正常运行，可以降低设备故障的风险，减少生产中断的可能性。设备管理制度还可以健全安全方面的政策和规程，确保设备的安全操作，有助于减少事故和伤害的风险，保护员工和资产。运维管理制度：数字化仓库涉及大量设施设备，制定数字化仓库的运维管理制度是为了确保数字化仓库系统的高效、稳定、可靠运行，及时解决问题和提升系统性能，通过制度明确运维团队中的角色和责任，明确工作流程和支撑工具，并能够追溯责任。</w:t>
      </w:r>
    </w:p>
    <w:p w14:paraId="256B0E60">
      <w:pPr>
        <w:pStyle w:val="3"/>
        <w:adjustRightInd w:val="0"/>
        <w:snapToGrid w:val="0"/>
        <w:spacing w:before="0" w:line="365" w:lineRule="auto"/>
        <w:ind w:firstLine="482"/>
        <w:rPr>
          <w:rFonts w:ascii="MS Gothic" w:hAnsi="MS Gothic" w:cs="MS Gothic"/>
          <w:sz w:val="32"/>
          <w:szCs w:val="32"/>
        </w:rPr>
      </w:pPr>
      <w:r>
        <w:rPr>
          <w:rFonts w:hint="eastAsia" w:ascii="楷体" w:hAnsi="楷体" w:eastAsia="楷体" w:cs="楷体"/>
          <w:sz w:val="32"/>
          <w:szCs w:val="32"/>
        </w:rPr>
        <w:t>应建立定期评估机制，通过定期评估设备与系统的运行状况，分析未达标的原因，并制定改进措施，确保仓库的数字化系统始终保持最佳状态。</w:t>
      </w:r>
      <w:r>
        <w:rPr>
          <w:rFonts w:ascii="楷体" w:hAnsi="楷体" w:eastAsia="楷体" w:cs="楷体"/>
          <w:sz w:val="32"/>
          <w:szCs w:val="32"/>
        </w:rPr>
        <w:t>定期评估机制包括以下几个步骤：</w:t>
      </w:r>
      <w:r>
        <w:rPr>
          <w:rFonts w:hint="eastAsia" w:ascii="MS Gothic" w:hAnsi="MS Gothic" w:eastAsia="MS Gothic" w:cs="MS Gothic"/>
          <w:sz w:val="32"/>
          <w:szCs w:val="32"/>
        </w:rPr>
        <w:t>‌</w:t>
      </w:r>
      <w:r>
        <w:rPr>
          <w:rFonts w:ascii="楷体" w:hAnsi="楷体" w:eastAsia="楷体" w:cs="楷体"/>
          <w:sz w:val="32"/>
          <w:szCs w:val="32"/>
        </w:rPr>
        <w:t>设定评估标准</w:t>
      </w:r>
      <w:r>
        <w:rPr>
          <w:rFonts w:hint="eastAsia" w:ascii="MS Gothic" w:hAnsi="MS Gothic" w:eastAsia="MS Gothic" w:cs="MS Gothic"/>
          <w:sz w:val="32"/>
          <w:szCs w:val="32"/>
        </w:rPr>
        <w:t>‌</w:t>
      </w:r>
      <w:r>
        <w:rPr>
          <w:rFonts w:hint="eastAsia" w:ascii="楷体" w:hAnsi="楷体" w:eastAsia="楷体" w:cs="楷体"/>
          <w:sz w:val="32"/>
          <w:szCs w:val="32"/>
        </w:rPr>
        <w:t>、</w:t>
      </w:r>
      <w:r>
        <w:rPr>
          <w:rFonts w:ascii="楷体" w:hAnsi="楷体" w:eastAsia="楷体" w:cs="楷体"/>
          <w:sz w:val="32"/>
          <w:szCs w:val="32"/>
        </w:rPr>
        <w:t>收集数据</w:t>
      </w:r>
      <w:r>
        <w:rPr>
          <w:rFonts w:hint="eastAsia" w:ascii="楷体" w:hAnsi="楷体" w:eastAsia="楷体" w:cs="楷体"/>
          <w:sz w:val="32"/>
          <w:szCs w:val="32"/>
        </w:rPr>
        <w:t>、</w:t>
      </w:r>
      <w:r>
        <w:rPr>
          <w:rFonts w:ascii="楷体" w:hAnsi="楷体" w:eastAsia="楷体" w:cs="楷体"/>
          <w:sz w:val="32"/>
          <w:szCs w:val="32"/>
        </w:rPr>
        <w:t>分析评估结果</w:t>
      </w:r>
      <w:r>
        <w:rPr>
          <w:rFonts w:hint="eastAsia" w:ascii="MS Gothic" w:hAnsi="MS Gothic" w:eastAsia="MS Gothic" w:cs="MS Gothic"/>
          <w:sz w:val="32"/>
          <w:szCs w:val="32"/>
        </w:rPr>
        <w:t>‌</w:t>
      </w:r>
      <w:r>
        <w:rPr>
          <w:rFonts w:hint="eastAsia" w:ascii="楷体" w:hAnsi="楷体" w:eastAsia="楷体" w:cs="楷体"/>
          <w:sz w:val="32"/>
          <w:szCs w:val="32"/>
        </w:rPr>
        <w:t>、</w:t>
      </w:r>
      <w:r>
        <w:rPr>
          <w:rFonts w:hint="eastAsia" w:ascii="MS Gothic" w:hAnsi="MS Gothic" w:eastAsia="MS Gothic" w:cs="MS Gothic"/>
          <w:sz w:val="32"/>
          <w:szCs w:val="32"/>
        </w:rPr>
        <w:t>‌</w:t>
      </w:r>
      <w:r>
        <w:rPr>
          <w:rFonts w:ascii="楷体" w:hAnsi="楷体" w:eastAsia="楷体" w:cs="楷体"/>
          <w:sz w:val="32"/>
          <w:szCs w:val="32"/>
        </w:rPr>
        <w:t>制定改进措施</w:t>
      </w:r>
      <w:r>
        <w:rPr>
          <w:rFonts w:hint="eastAsia" w:ascii="MS Gothic" w:hAnsi="MS Gothic" w:eastAsia="MS Gothic" w:cs="MS Gothic"/>
          <w:sz w:val="32"/>
          <w:szCs w:val="32"/>
        </w:rPr>
        <w:t>‌</w:t>
      </w:r>
      <w:r>
        <w:rPr>
          <w:rFonts w:hint="eastAsia" w:ascii="楷体" w:hAnsi="楷体" w:eastAsia="楷体" w:cs="楷体"/>
          <w:sz w:val="32"/>
          <w:szCs w:val="32"/>
        </w:rPr>
        <w:t>、</w:t>
      </w:r>
      <w:r>
        <w:rPr>
          <w:rFonts w:ascii="楷体" w:hAnsi="楷体" w:eastAsia="楷体" w:cs="楷体"/>
          <w:sz w:val="32"/>
          <w:szCs w:val="32"/>
        </w:rPr>
        <w:t>实施与跟踪</w:t>
      </w:r>
      <w:r>
        <w:rPr>
          <w:rFonts w:hint="eastAsia" w:ascii="MS Gothic" w:hAnsi="MS Gothic" w:eastAsia="MS Gothic" w:cs="MS Gothic"/>
          <w:sz w:val="32"/>
          <w:szCs w:val="32"/>
        </w:rPr>
        <w:t>‌</w:t>
      </w:r>
      <w:r>
        <w:rPr>
          <w:rFonts w:hint="eastAsia" w:ascii="楷体" w:hAnsi="楷体" w:eastAsia="楷体" w:cs="楷体"/>
          <w:sz w:val="32"/>
          <w:szCs w:val="32"/>
        </w:rPr>
        <w:t>、</w:t>
      </w:r>
      <w:r>
        <w:rPr>
          <w:rFonts w:ascii="楷体" w:hAnsi="楷体" w:eastAsia="楷体" w:cs="楷体"/>
          <w:sz w:val="32"/>
          <w:szCs w:val="32"/>
        </w:rPr>
        <w:t>沟通与反馈</w:t>
      </w:r>
      <w:r>
        <w:rPr>
          <w:rFonts w:hint="eastAsia" w:ascii="MS Gothic" w:hAnsi="MS Gothic" w:eastAsia="MS Gothic" w:cs="MS Gothic"/>
          <w:sz w:val="32"/>
          <w:szCs w:val="32"/>
        </w:rPr>
        <w:t>‌</w:t>
      </w:r>
      <w:r>
        <w:rPr>
          <w:rFonts w:hint="eastAsia" w:ascii="楷体" w:hAnsi="楷体" w:eastAsia="楷体" w:cs="楷体"/>
          <w:sz w:val="32"/>
          <w:szCs w:val="32"/>
        </w:rPr>
        <w:t>，</w:t>
      </w:r>
      <w:r>
        <w:rPr>
          <w:rFonts w:ascii="楷体" w:hAnsi="楷体" w:eastAsia="楷体" w:cs="楷体"/>
          <w:sz w:val="32"/>
          <w:szCs w:val="32"/>
        </w:rPr>
        <w:t>通过定期评估机制的建立和实施，</w:t>
      </w:r>
      <w:r>
        <w:rPr>
          <w:rFonts w:hint="eastAsia" w:ascii="MS Gothic" w:hAnsi="MS Gothic" w:eastAsia="MS Gothic" w:cs="MS Gothic"/>
          <w:sz w:val="32"/>
          <w:szCs w:val="32"/>
        </w:rPr>
        <w:t>‌</w:t>
      </w:r>
      <w:r>
        <w:rPr>
          <w:rFonts w:ascii="楷体" w:hAnsi="楷体" w:eastAsia="楷体" w:cs="楷体"/>
          <w:sz w:val="32"/>
          <w:szCs w:val="32"/>
        </w:rPr>
        <w:t>企业可以更加科学地管理和优化数字化建设专项资金的使用，</w:t>
      </w:r>
      <w:r>
        <w:rPr>
          <w:rFonts w:hint="eastAsia" w:ascii="MS Gothic" w:hAnsi="MS Gothic" w:eastAsia="MS Gothic" w:cs="MS Gothic"/>
          <w:sz w:val="32"/>
          <w:szCs w:val="32"/>
        </w:rPr>
        <w:t>‌</w:t>
      </w:r>
      <w:r>
        <w:rPr>
          <w:rFonts w:ascii="楷体" w:hAnsi="楷体" w:eastAsia="楷体" w:cs="楷体"/>
          <w:sz w:val="32"/>
          <w:szCs w:val="32"/>
        </w:rPr>
        <w:t>确保数字化</w:t>
      </w:r>
      <w:r>
        <w:rPr>
          <w:rFonts w:hint="eastAsia" w:ascii="楷体" w:hAnsi="楷体" w:eastAsia="楷体" w:cs="楷体"/>
          <w:sz w:val="32"/>
          <w:szCs w:val="32"/>
        </w:rPr>
        <w:t>建设</w:t>
      </w:r>
      <w:r>
        <w:rPr>
          <w:rFonts w:ascii="楷体" w:hAnsi="楷体" w:eastAsia="楷体" w:cs="楷体"/>
          <w:sz w:val="32"/>
          <w:szCs w:val="32"/>
        </w:rPr>
        <w:t>的每一步都朝着既定目标迈进。</w:t>
      </w:r>
      <w:r>
        <w:rPr>
          <w:rFonts w:hint="eastAsia" w:ascii="MS Gothic" w:hAnsi="MS Gothic" w:eastAsia="MS Gothic" w:cs="MS Gothic"/>
          <w:sz w:val="32"/>
          <w:szCs w:val="32"/>
        </w:rPr>
        <w:t>‌</w:t>
      </w:r>
    </w:p>
    <w:p w14:paraId="666DB4AA">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 xml:space="preserve">7.3 人员管理  </w:t>
      </w:r>
    </w:p>
    <w:p w14:paraId="386E2B10">
      <w:pPr>
        <w:pStyle w:val="3"/>
        <w:rPr>
          <w:rFonts w:ascii="楷体" w:hAnsi="楷体" w:eastAsia="楷体" w:cs="楷体"/>
          <w:sz w:val="32"/>
          <w:szCs w:val="32"/>
        </w:rPr>
      </w:pPr>
      <w:r>
        <w:rPr>
          <w:rFonts w:hint="eastAsia" w:ascii="楷体" w:hAnsi="楷体" w:eastAsia="楷体" w:cs="楷体"/>
          <w:sz w:val="32"/>
          <w:szCs w:val="32"/>
        </w:rPr>
        <w:t>为液体化工品数字化仓库的高效运营离不开专业人员的参与。仓库需配备相应的操作人员和运维人员，分别负责设备的操作及系统的维护</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并明确人员的职责和权限。</w:t>
      </w:r>
      <w:r>
        <w:rPr>
          <w:rFonts w:hint="eastAsia" w:ascii="楷体" w:hAnsi="楷体" w:eastAsia="楷体" w:cs="楷体"/>
          <w:sz w:val="32"/>
          <w:szCs w:val="32"/>
        </w:rPr>
        <w:t>仓库的数字化需要员工具备新的技能和知识</w:t>
      </w:r>
      <w:r>
        <w:rPr>
          <w:rFonts w:hint="eastAsia" w:ascii="楷体" w:hAnsi="楷体" w:eastAsia="楷体" w:cs="楷体"/>
          <w:sz w:val="32"/>
          <w:szCs w:val="32"/>
          <w:lang w:eastAsia="zh-CN"/>
        </w:rPr>
        <w:t>，</w:t>
      </w:r>
      <w:r>
        <w:rPr>
          <w:rFonts w:hint="eastAsia" w:ascii="楷体" w:hAnsi="楷体" w:eastAsia="楷体" w:cs="楷体"/>
          <w:sz w:val="32"/>
          <w:szCs w:val="32"/>
        </w:rPr>
        <w:t>在数字化时代，新的技术和工具不断涌现，员工需要不断学习和适应。因此，企业需要制定全面的培训计划，包括内部培训、外部培训和在线学习等多种形式。内部培训可以利用公司内部的资源和经验，培养员工的专业知识和技能。外部培训可以邀请行业专家和顾问来进行培训，让员工接触到最新的技术和趋势。在线学习是一种灵活的培训方式，员工可以根据自己的时间和需求来学习。通过多种形式的培训，员工可以不断提升自己的能力，适应数字化转型的需求。</w:t>
      </w:r>
      <w:r>
        <w:rPr>
          <w:rFonts w:hint="eastAsia" w:ascii="楷体" w:hAnsi="楷体" w:eastAsia="楷体" w:cs="楷体"/>
          <w:sz w:val="32"/>
          <w:szCs w:val="32"/>
        </w:rPr>
        <w:br w:type="textWrapping"/>
      </w:r>
      <w:r>
        <w:rPr>
          <w:rFonts w:hint="eastAsia" w:ascii="楷体" w:hAnsi="楷体" w:eastAsia="楷体" w:cs="楷体"/>
          <w:sz w:val="32"/>
          <w:szCs w:val="32"/>
        </w:rPr>
        <w:t xml:space="preserve">   此外，由于数字化技术的迭代更新，仓库的数字化是一项长期、复杂的任务，需要全员参与和支持。因此，企业需要设计激励机制，激励员工积极参与转型过程。一种常见的激励方式是奖励制度，通过给予优秀员工奖金、晋升或其他福利，来激励员工的积极性。此外，企业还可以设置目标和考核体系，对员工的数字化转型能力和表现进行评估，以此来激励员工不断提升自己。另外，企业还可以通过组织员工参与数字化转型项目，让员工有机会参与决策和实施，增强员工的归属感和责任感。</w:t>
      </w:r>
    </w:p>
    <w:p w14:paraId="2C49CABD">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 xml:space="preserve">7.4 单证管理 </w:t>
      </w:r>
    </w:p>
    <w:p w14:paraId="3B39F595">
      <w:pPr>
        <w:pStyle w:val="3"/>
        <w:ind w:right="285"/>
        <w:rPr>
          <w:rFonts w:ascii="楷体" w:hAnsi="楷体" w:eastAsia="楷体" w:cs="楷体"/>
          <w:sz w:val="32"/>
          <w:szCs w:val="32"/>
        </w:rPr>
      </w:pPr>
      <w:r>
        <w:rPr>
          <w:rFonts w:hint="eastAsia" w:ascii="楷体" w:hAnsi="楷体" w:eastAsia="楷体" w:cs="楷体"/>
          <w:sz w:val="32"/>
          <w:szCs w:val="32"/>
        </w:rPr>
        <w:t>为鼓励电子单证的使用，避免纸质单证被篡改、丢失或伪造等情况的发生，仓库提供客户服务平台，客户通过平台录入的电子数据经CA数字签名后生成的电子凭证应与纸质凭证指令具有同等效力。此外，为避免同时使用纸质与电子单证而造成混淆，减少可能出现的纰漏或差错，同一指令，纸质凭证和电子指令只能使用其一。</w:t>
      </w:r>
    </w:p>
    <w:p w14:paraId="0C1690D0">
      <w:pPr>
        <w:pStyle w:val="3"/>
        <w:spacing w:before="2"/>
        <w:ind w:right="377"/>
        <w:rPr>
          <w:rFonts w:ascii="楷体" w:hAnsi="楷体" w:eastAsia="楷体" w:cs="楷体"/>
          <w:sz w:val="32"/>
          <w:szCs w:val="32"/>
        </w:rPr>
      </w:pPr>
      <w:r>
        <w:rPr>
          <w:rFonts w:hint="eastAsia" w:ascii="楷体" w:hAnsi="楷体" w:eastAsia="楷体" w:cs="楷体"/>
          <w:sz w:val="32"/>
          <w:szCs w:val="32"/>
        </w:rPr>
        <w:t>尽管电子凭证在数字化仓库管理中具有便利性和效率优势，但某些情况下可能仍然需要保留纸质存档的需求。打印出的凭证可以作为纸质备份，以便存档和归档，满足法律、审计或其他管理要求。需要明确的是，打印出的凭证仅用于存档目的，而不应作为操作或核实的主要凭证。电子指令在出库和其他作业过程中仍然是主要的依据和记录形式。打印出的凭证仅作为备份和存档使用，以提供额外的纸质记录和备份保障。</w:t>
      </w:r>
    </w:p>
    <w:p w14:paraId="7EC47AFF">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 xml:space="preserve">7.5 数据管理  </w:t>
      </w:r>
    </w:p>
    <w:p w14:paraId="33A2CBF5">
      <w:pPr>
        <w:pStyle w:val="3"/>
        <w:rPr>
          <w:rFonts w:ascii="楷体" w:hAnsi="楷体" w:eastAsia="楷体" w:cs="楷体"/>
          <w:sz w:val="32"/>
          <w:szCs w:val="32"/>
        </w:rPr>
      </w:pPr>
      <w:r>
        <w:rPr>
          <w:rFonts w:hint="eastAsia" w:ascii="楷体" w:hAnsi="楷体" w:eastAsia="楷体" w:cs="楷体"/>
          <w:sz w:val="32"/>
          <w:szCs w:val="32"/>
        </w:rPr>
        <w:t>液体化工品仓库的数据管理涉及多种数据类型，包括基础数据、业务数据、运营数据及管理数据。数字化仓库涉及到大量数据采集、加工、使用、迁移等工作，因此对于数据的管理非常重要。从质量控制角度来看，数据管理有助于监测和控制数据质量，数据质量是描述数据价值含量的指标，缺少对数据质量的管理会造成脏数据、错数据、冗余数据，进而产生信息不能融合、管理责任缺失等问题。从数据共享安全性角度来看，数据分类体系、安全授权机制、数据接口管理能够在提高仓库与上下游企业进行数据互联互通的同时，避免数据的泄露。</w:t>
      </w:r>
    </w:p>
    <w:p w14:paraId="077755C4">
      <w:pPr>
        <w:pStyle w:val="37"/>
        <w:tabs>
          <w:tab w:val="left" w:pos="1281"/>
        </w:tabs>
        <w:spacing w:before="160"/>
        <w:ind w:left="1281" w:hanging="421"/>
        <w:rPr>
          <w:rFonts w:ascii="楷体" w:hAnsi="楷体" w:eastAsia="楷体" w:cs="楷体"/>
          <w:kern w:val="2"/>
          <w:sz w:val="32"/>
          <w:szCs w:val="32"/>
        </w:rPr>
      </w:pPr>
      <w:r>
        <w:rPr>
          <w:rFonts w:hint="eastAsia" w:ascii="楷体" w:hAnsi="楷体" w:eastAsia="楷体" w:cs="楷体"/>
          <w:kern w:val="2"/>
          <w:sz w:val="32"/>
          <w:szCs w:val="32"/>
        </w:rPr>
        <w:t xml:space="preserve">7.6 安全及运维管理  </w:t>
      </w:r>
    </w:p>
    <w:p w14:paraId="4A361425">
      <w:pPr>
        <w:pStyle w:val="3"/>
        <w:rPr>
          <w:rFonts w:ascii="楷体" w:hAnsi="楷体" w:eastAsia="楷体" w:cs="楷体"/>
          <w:sz w:val="32"/>
          <w:szCs w:val="32"/>
        </w:rPr>
      </w:pPr>
      <w:r>
        <w:rPr>
          <w:rFonts w:hint="eastAsia" w:ascii="楷体" w:hAnsi="楷体" w:eastAsia="楷体" w:cs="楷体"/>
          <w:sz w:val="32"/>
          <w:szCs w:val="32"/>
        </w:rPr>
        <w:t>液体化工品数字化仓库的运营依赖于网络系统的安全性。因此，需定期开展网络安全评估，及时识别并处理潜在的安全风险，并落实网络设备、系统及应用的安全防护措施，特别是在关键数字化基础设施的保护方面，制定严格的安全策略，防止网络安全事件的发生。</w:t>
      </w:r>
      <w:r>
        <w:rPr>
          <w:rFonts w:hint="eastAsia" w:ascii="楷体" w:hAnsi="楷体" w:eastAsia="楷体" w:cs="楷体"/>
          <w:b w:val="0"/>
          <w:bCs w:val="0"/>
          <w:kern w:val="2"/>
          <w:sz w:val="32"/>
          <w:szCs w:val="32"/>
          <w:highlight w:val="none"/>
          <w:lang w:val="en-US" w:eastAsia="zh-CN" w:bidi="ar-SA"/>
        </w:rPr>
        <w:t>还需定期评估设备与系统的运行状况，分析未达标的原因，并制定改进措施，确保仓库的数字化系统始终保持最佳状态。</w:t>
      </w:r>
      <w:r>
        <w:rPr>
          <w:rFonts w:hint="eastAsia" w:ascii="楷体" w:hAnsi="楷体" w:eastAsia="楷体" w:cs="楷体"/>
          <w:sz w:val="32"/>
          <w:szCs w:val="32"/>
        </w:rPr>
        <w:t>液体化工品仓库的数字化设施设备需要持续的运行维护管理，因此需要收集数字化设备的运行日志，包括系统日志、操作日志、错误日志，通过对日志的分析，提前发现设备系统可能会发生的问题，做到提前预防处理，保障系统的正常运行。另外，依据业务要求制定运维管理计划，明确策略和目标，可以确保运维活动的针对性，满足业务实际需求。同时为满足正常运维的开展，应根据年度运维计划设置专项建设资金，这些资金主要</w:t>
      </w:r>
      <w:r>
        <w:rPr>
          <w:rFonts w:ascii="楷体" w:hAnsi="楷体" w:eastAsia="楷体" w:cs="楷体"/>
          <w:sz w:val="32"/>
          <w:szCs w:val="32"/>
        </w:rPr>
        <w:t>用于支持企业推进数字化</w:t>
      </w:r>
      <w:r>
        <w:rPr>
          <w:rFonts w:hint="eastAsia" w:ascii="楷体" w:hAnsi="楷体" w:eastAsia="楷体" w:cs="楷体"/>
          <w:sz w:val="32"/>
          <w:szCs w:val="32"/>
        </w:rPr>
        <w:t>建设</w:t>
      </w:r>
      <w:r>
        <w:rPr>
          <w:rFonts w:ascii="楷体" w:hAnsi="楷体" w:eastAsia="楷体" w:cs="楷体"/>
          <w:sz w:val="32"/>
          <w:szCs w:val="32"/>
        </w:rPr>
        <w:t>，</w:t>
      </w:r>
      <w:r>
        <w:rPr>
          <w:rFonts w:hint="eastAsia" w:ascii="MS Gothic" w:hAnsi="MS Gothic" w:eastAsia="MS Gothic" w:cs="MS Gothic"/>
          <w:sz w:val="32"/>
          <w:szCs w:val="32"/>
        </w:rPr>
        <w:t>‌</w:t>
      </w:r>
      <w:r>
        <w:rPr>
          <w:rFonts w:ascii="楷体" w:hAnsi="楷体" w:eastAsia="楷体" w:cs="楷体"/>
          <w:sz w:val="32"/>
          <w:szCs w:val="32"/>
        </w:rPr>
        <w:t>提升数字化水平和竞争力</w:t>
      </w:r>
      <w:r>
        <w:rPr>
          <w:rFonts w:hint="eastAsia" w:ascii="楷体" w:hAnsi="楷体" w:eastAsia="楷体" w:cs="楷体"/>
          <w:sz w:val="32"/>
          <w:szCs w:val="32"/>
        </w:rPr>
        <w:t>，</w:t>
      </w:r>
      <w:r>
        <w:rPr>
          <w:rFonts w:ascii="楷体" w:hAnsi="楷体" w:eastAsia="楷体" w:cs="楷体"/>
          <w:sz w:val="32"/>
          <w:szCs w:val="32"/>
        </w:rPr>
        <w:t>包括但不限于数字化改造、</w:t>
      </w:r>
      <w:r>
        <w:rPr>
          <w:rFonts w:hint="eastAsia" w:ascii="MS Gothic" w:hAnsi="MS Gothic" w:eastAsia="MS Gothic" w:cs="MS Gothic"/>
          <w:sz w:val="32"/>
          <w:szCs w:val="32"/>
        </w:rPr>
        <w:t>‌</w:t>
      </w:r>
      <w:r>
        <w:rPr>
          <w:rFonts w:ascii="楷体" w:hAnsi="楷体" w:eastAsia="楷体" w:cs="楷体"/>
          <w:sz w:val="32"/>
          <w:szCs w:val="32"/>
        </w:rPr>
        <w:t>数字化转型咨询服务支持、</w:t>
      </w:r>
      <w:r>
        <w:rPr>
          <w:rFonts w:hint="eastAsia" w:ascii="MS Gothic" w:hAnsi="MS Gothic" w:eastAsia="MS Gothic" w:cs="MS Gothic"/>
          <w:sz w:val="32"/>
          <w:szCs w:val="32"/>
        </w:rPr>
        <w:t>‌</w:t>
      </w:r>
      <w:r>
        <w:rPr>
          <w:rFonts w:ascii="楷体" w:hAnsi="楷体" w:eastAsia="楷体" w:cs="楷体"/>
          <w:sz w:val="32"/>
          <w:szCs w:val="32"/>
        </w:rPr>
        <w:t>数字化软硬件购置等</w:t>
      </w:r>
      <w:r>
        <w:rPr>
          <w:rFonts w:hint="eastAsia" w:ascii="楷体" w:hAnsi="楷体" w:eastAsia="楷体" w:cs="楷体"/>
          <w:sz w:val="32"/>
          <w:szCs w:val="32"/>
        </w:rPr>
        <w:t>。</w:t>
      </w:r>
    </w:p>
    <w:p w14:paraId="585B81D1">
      <w:pPr>
        <w:ind w:firstLine="640" w:firstLineChars="200"/>
        <w:rPr>
          <w:rFonts w:ascii="黑体" w:hAnsi="黑体" w:eastAsia="黑体" w:cs="黑体"/>
          <w:sz w:val="32"/>
          <w:szCs w:val="32"/>
        </w:rPr>
      </w:pPr>
      <w:r>
        <w:rPr>
          <w:rFonts w:hint="eastAsia" w:ascii="黑体" w:hAnsi="黑体" w:eastAsia="黑体" w:cs="黑体"/>
          <w:sz w:val="32"/>
          <w:szCs w:val="32"/>
        </w:rPr>
        <w:t>三、标准验证情况（请以此为例，列出此标准验证企业情况，针对标准中主要技术内容进行验证，并写验证结果）</w:t>
      </w:r>
    </w:p>
    <w:p w14:paraId="2046A4A2">
      <w:pPr>
        <w:pStyle w:val="3"/>
        <w:spacing w:before="0" w:line="360" w:lineRule="auto"/>
        <w:ind w:right="-21"/>
        <w:rPr>
          <w:rFonts w:ascii="楷体" w:hAnsi="楷体" w:eastAsia="楷体" w:cs="楷体"/>
          <w:sz w:val="32"/>
          <w:szCs w:val="32"/>
        </w:rPr>
      </w:pPr>
      <w:r>
        <w:rPr>
          <w:rFonts w:hint="eastAsia" w:ascii="楷体" w:hAnsi="楷体" w:eastAsia="楷体" w:cs="楷体"/>
          <w:sz w:val="32"/>
          <w:szCs w:val="32"/>
        </w:rPr>
        <w:t>对本标准的主要技术内容，起草组共对3家企业进行了现场调研。这3家企业分别为张家港保税区长江国际港务有限公司、广东宏川智慧物流股份有限公司、江阴恒阳物流集团。其中张家港保税区长江国际港务有限公司在华东区域，主要从事化工品仓储业务及供应链服务。广东宏川智慧物流股份有限公司，主要从事化工品仓储业务，覆盖华东、华南区域。江阴恒阳物流集团在华东区域，主要从事化工品仓储业务。三家企业的验证结果见表2。</w:t>
      </w:r>
    </w:p>
    <w:p w14:paraId="4AD3FAE7">
      <w:pPr>
        <w:pStyle w:val="2"/>
        <w:autoSpaceDE/>
        <w:autoSpaceDN/>
        <w:spacing w:before="0" w:after="120" w:line="240" w:lineRule="auto"/>
        <w:ind w:left="0" w:right="0" w:firstLine="0"/>
        <w:rPr>
          <w:rFonts w:ascii="楷体" w:hAnsi="楷体" w:eastAsia="楷体"/>
          <w:sz w:val="28"/>
          <w:szCs w:val="28"/>
        </w:rPr>
      </w:pPr>
      <w:r>
        <w:rPr>
          <w:rFonts w:hint="eastAsia" w:ascii="楷体" w:hAnsi="楷体" w:eastAsia="楷体"/>
          <w:sz w:val="28"/>
          <w:szCs w:val="28"/>
        </w:rPr>
        <w:t>表2主要技术内容验证结果</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2070"/>
        <w:gridCol w:w="1932"/>
        <w:gridCol w:w="1981"/>
      </w:tblGrid>
      <w:tr w14:paraId="27EC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Align w:val="center"/>
          </w:tcPr>
          <w:p w14:paraId="0B0F9FDB">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标准主要技术内容</w:t>
            </w:r>
          </w:p>
        </w:tc>
        <w:tc>
          <w:tcPr>
            <w:tcW w:w="2070" w:type="dxa"/>
            <w:vAlign w:val="center"/>
          </w:tcPr>
          <w:p w14:paraId="5BF354BD">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张家港保税区长江国际港务有限公司</w:t>
            </w:r>
          </w:p>
        </w:tc>
        <w:tc>
          <w:tcPr>
            <w:tcW w:w="1932" w:type="dxa"/>
            <w:vAlign w:val="center"/>
          </w:tcPr>
          <w:p w14:paraId="63B5F45C">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广东宏川智慧物流股份有限公司</w:t>
            </w:r>
          </w:p>
        </w:tc>
        <w:tc>
          <w:tcPr>
            <w:tcW w:w="1981" w:type="dxa"/>
            <w:vAlign w:val="center"/>
          </w:tcPr>
          <w:p w14:paraId="33602D4A">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江阴恒阳物流集团</w:t>
            </w:r>
          </w:p>
        </w:tc>
      </w:tr>
      <w:tr w14:paraId="2197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313" w:type="dxa"/>
            <w:vAlign w:val="center"/>
          </w:tcPr>
          <w:p w14:paraId="781561D5">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5 基本要求</w:t>
            </w:r>
          </w:p>
        </w:tc>
        <w:tc>
          <w:tcPr>
            <w:tcW w:w="2070" w:type="dxa"/>
            <w:vAlign w:val="center"/>
          </w:tcPr>
          <w:p w14:paraId="0F58249A">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c>
          <w:tcPr>
            <w:tcW w:w="1932" w:type="dxa"/>
            <w:vAlign w:val="center"/>
          </w:tcPr>
          <w:p w14:paraId="3A3BA478">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c>
          <w:tcPr>
            <w:tcW w:w="1981" w:type="dxa"/>
            <w:vAlign w:val="center"/>
          </w:tcPr>
          <w:p w14:paraId="1D4A0C07">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r>
      <w:tr w14:paraId="4F72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313" w:type="dxa"/>
            <w:vAlign w:val="center"/>
          </w:tcPr>
          <w:p w14:paraId="3C5D6A5B">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6.1数据基础设施设备</w:t>
            </w:r>
          </w:p>
        </w:tc>
        <w:tc>
          <w:tcPr>
            <w:tcW w:w="2070" w:type="dxa"/>
            <w:vAlign w:val="center"/>
          </w:tcPr>
          <w:p w14:paraId="282E2D20">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c>
          <w:tcPr>
            <w:tcW w:w="1932" w:type="dxa"/>
            <w:vAlign w:val="center"/>
          </w:tcPr>
          <w:p w14:paraId="5FD78950">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c>
          <w:tcPr>
            <w:tcW w:w="1981" w:type="dxa"/>
            <w:vAlign w:val="center"/>
          </w:tcPr>
          <w:p w14:paraId="2E6A1EDA">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r>
      <w:tr w14:paraId="4623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Align w:val="center"/>
          </w:tcPr>
          <w:p w14:paraId="54FA80BB">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6.2数字化仓库软件系统</w:t>
            </w:r>
          </w:p>
        </w:tc>
        <w:tc>
          <w:tcPr>
            <w:tcW w:w="2070" w:type="dxa"/>
            <w:vAlign w:val="center"/>
          </w:tcPr>
          <w:p w14:paraId="0537C7C4">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c>
          <w:tcPr>
            <w:tcW w:w="1932" w:type="dxa"/>
            <w:vAlign w:val="center"/>
          </w:tcPr>
          <w:p w14:paraId="0DA28207">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c>
          <w:tcPr>
            <w:tcW w:w="1981" w:type="dxa"/>
            <w:vAlign w:val="center"/>
          </w:tcPr>
          <w:p w14:paraId="4C8C0F9A">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r>
      <w:tr w14:paraId="6DD7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Align w:val="center"/>
          </w:tcPr>
          <w:p w14:paraId="1FE48DB1">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7.1编码管理</w:t>
            </w:r>
          </w:p>
        </w:tc>
        <w:tc>
          <w:tcPr>
            <w:tcW w:w="2070" w:type="dxa"/>
            <w:vAlign w:val="center"/>
          </w:tcPr>
          <w:p w14:paraId="6B79FB34">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基本符合</w:t>
            </w:r>
          </w:p>
        </w:tc>
        <w:tc>
          <w:tcPr>
            <w:tcW w:w="1932" w:type="dxa"/>
            <w:vAlign w:val="center"/>
          </w:tcPr>
          <w:p w14:paraId="2E2AE883">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c>
          <w:tcPr>
            <w:tcW w:w="1981" w:type="dxa"/>
            <w:vAlign w:val="center"/>
          </w:tcPr>
          <w:p w14:paraId="669D005E">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r>
      <w:tr w14:paraId="7087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Align w:val="center"/>
          </w:tcPr>
          <w:p w14:paraId="4F90AB94">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7.2制度管理</w:t>
            </w:r>
          </w:p>
        </w:tc>
        <w:tc>
          <w:tcPr>
            <w:tcW w:w="2070" w:type="dxa"/>
            <w:vAlign w:val="center"/>
          </w:tcPr>
          <w:p w14:paraId="17FFCABB">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c>
          <w:tcPr>
            <w:tcW w:w="1932" w:type="dxa"/>
            <w:vAlign w:val="center"/>
          </w:tcPr>
          <w:p w14:paraId="29D4D31F">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c>
          <w:tcPr>
            <w:tcW w:w="1981" w:type="dxa"/>
            <w:vAlign w:val="center"/>
          </w:tcPr>
          <w:p w14:paraId="6C8A531E">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r>
      <w:tr w14:paraId="1E0E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Align w:val="center"/>
          </w:tcPr>
          <w:p w14:paraId="0B430AF1">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7.3人员管理</w:t>
            </w:r>
          </w:p>
        </w:tc>
        <w:tc>
          <w:tcPr>
            <w:tcW w:w="2070" w:type="dxa"/>
            <w:vAlign w:val="center"/>
          </w:tcPr>
          <w:p w14:paraId="201C510C">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c>
          <w:tcPr>
            <w:tcW w:w="1932" w:type="dxa"/>
            <w:vAlign w:val="center"/>
          </w:tcPr>
          <w:p w14:paraId="73F53E18">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基本符合</w:t>
            </w:r>
          </w:p>
        </w:tc>
        <w:tc>
          <w:tcPr>
            <w:tcW w:w="1981" w:type="dxa"/>
            <w:vAlign w:val="center"/>
          </w:tcPr>
          <w:p w14:paraId="00CD2790">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基本符合</w:t>
            </w:r>
          </w:p>
        </w:tc>
      </w:tr>
      <w:tr w14:paraId="6015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Align w:val="center"/>
          </w:tcPr>
          <w:p w14:paraId="28F0AB19">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7.4单证管理</w:t>
            </w:r>
          </w:p>
        </w:tc>
        <w:tc>
          <w:tcPr>
            <w:tcW w:w="2070" w:type="dxa"/>
            <w:vAlign w:val="center"/>
          </w:tcPr>
          <w:p w14:paraId="3118FA37">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c>
          <w:tcPr>
            <w:tcW w:w="1932" w:type="dxa"/>
            <w:vAlign w:val="center"/>
          </w:tcPr>
          <w:p w14:paraId="698D32B6">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c>
          <w:tcPr>
            <w:tcW w:w="1981" w:type="dxa"/>
            <w:vAlign w:val="center"/>
          </w:tcPr>
          <w:p w14:paraId="5A212A7A">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r>
      <w:tr w14:paraId="4611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Align w:val="center"/>
          </w:tcPr>
          <w:p w14:paraId="14A1D98B">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7.5数据管理</w:t>
            </w:r>
          </w:p>
        </w:tc>
        <w:tc>
          <w:tcPr>
            <w:tcW w:w="2070" w:type="dxa"/>
            <w:vAlign w:val="center"/>
          </w:tcPr>
          <w:p w14:paraId="6051B191">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基本符合</w:t>
            </w:r>
          </w:p>
        </w:tc>
        <w:tc>
          <w:tcPr>
            <w:tcW w:w="1932" w:type="dxa"/>
            <w:vAlign w:val="center"/>
          </w:tcPr>
          <w:p w14:paraId="76043A34">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基本符合</w:t>
            </w:r>
          </w:p>
        </w:tc>
        <w:tc>
          <w:tcPr>
            <w:tcW w:w="1981" w:type="dxa"/>
            <w:vAlign w:val="center"/>
          </w:tcPr>
          <w:p w14:paraId="48D87ABC">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基本符合</w:t>
            </w:r>
          </w:p>
        </w:tc>
      </w:tr>
      <w:tr w14:paraId="0CF7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3" w:type="dxa"/>
            <w:vAlign w:val="center"/>
          </w:tcPr>
          <w:p w14:paraId="668CF621">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7.6安全及运维管理</w:t>
            </w:r>
          </w:p>
        </w:tc>
        <w:tc>
          <w:tcPr>
            <w:tcW w:w="2070" w:type="dxa"/>
            <w:vAlign w:val="center"/>
          </w:tcPr>
          <w:p w14:paraId="067FAEB7">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基本符合</w:t>
            </w:r>
          </w:p>
        </w:tc>
        <w:tc>
          <w:tcPr>
            <w:tcW w:w="1932" w:type="dxa"/>
            <w:vAlign w:val="center"/>
          </w:tcPr>
          <w:p w14:paraId="04F964C0">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c>
          <w:tcPr>
            <w:tcW w:w="1981" w:type="dxa"/>
            <w:vAlign w:val="center"/>
          </w:tcPr>
          <w:p w14:paraId="00F5FF81">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符合</w:t>
            </w:r>
          </w:p>
        </w:tc>
      </w:tr>
      <w:tr w14:paraId="6146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4"/>
            <w:vAlign w:val="center"/>
          </w:tcPr>
          <w:p w14:paraId="01743D6B">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注：技术要求为定性规定的，可能用“符合”、“基本符合”、“不符合”</w:t>
            </w:r>
          </w:p>
          <w:p w14:paraId="005AE16E">
            <w:pPr>
              <w:pStyle w:val="2"/>
              <w:autoSpaceDE/>
              <w:autoSpaceDN/>
              <w:spacing w:before="0" w:line="240" w:lineRule="auto"/>
              <w:ind w:left="0" w:right="0" w:firstLine="0"/>
              <w:rPr>
                <w:rFonts w:ascii="楷体" w:hAnsi="楷体" w:eastAsia="楷体" w:cstheme="minorBidi"/>
                <w:sz w:val="24"/>
                <w:szCs w:val="24"/>
              </w:rPr>
            </w:pPr>
            <w:r>
              <w:rPr>
                <w:rFonts w:hint="eastAsia" w:ascii="楷体" w:hAnsi="楷体" w:eastAsia="楷体" w:cstheme="minorBidi"/>
                <w:sz w:val="24"/>
                <w:szCs w:val="24"/>
              </w:rPr>
              <w:t>技术要求为定量数值的，填写企业实际数值</w:t>
            </w:r>
          </w:p>
        </w:tc>
      </w:tr>
    </w:tbl>
    <w:p w14:paraId="178B208C">
      <w:pPr>
        <w:pStyle w:val="3"/>
        <w:spacing w:before="0" w:line="360" w:lineRule="auto"/>
        <w:ind w:right="-21"/>
        <w:rPr>
          <w:rFonts w:ascii="楷体" w:hAnsi="楷体" w:eastAsia="楷体" w:cs="楷体"/>
          <w:sz w:val="32"/>
          <w:szCs w:val="32"/>
        </w:rPr>
      </w:pPr>
      <w:r>
        <w:rPr>
          <w:rFonts w:hint="eastAsia" w:ascii="楷体" w:hAnsi="楷体" w:eastAsia="楷体" w:cs="楷体"/>
          <w:sz w:val="32"/>
          <w:szCs w:val="32"/>
        </w:rPr>
        <w:t>据调研结果显示，张家港保税区长江国际港务有限公司、广东宏川智慧物流股份有限公司、江阴恒阳物流集团对标准主要技术内容的相关规定皆符合或基本符合；本标准的落地实施意见是通过引导或助力化工仓储企业提高数字化建设能力，符合国家数字化经济发展的方向，验证企业表示对本标准持支持态度，后续会对照标准要求规范作业。整体来看，本标准条款与企业操作实践基本符合。</w:t>
      </w:r>
    </w:p>
    <w:p w14:paraId="31713C47">
      <w:pPr>
        <w:ind w:firstLine="640" w:firstLineChars="200"/>
        <w:rPr>
          <w:rFonts w:ascii="黑体" w:hAnsi="黑体" w:eastAsia="黑体" w:cs="黑体"/>
          <w:sz w:val="32"/>
          <w:szCs w:val="32"/>
        </w:rPr>
      </w:pPr>
      <w:r>
        <w:rPr>
          <w:rFonts w:hint="eastAsia" w:ascii="黑体" w:hAnsi="黑体" w:eastAsia="黑体" w:cs="黑体"/>
          <w:sz w:val="32"/>
          <w:szCs w:val="32"/>
        </w:rPr>
        <w:t>四、采用国际标准和国外先进标准的程度，以及与国际、国外同类标准水平的对比情况</w:t>
      </w:r>
    </w:p>
    <w:p w14:paraId="1F3A0118">
      <w:pPr>
        <w:pStyle w:val="3"/>
        <w:spacing w:before="0" w:line="360" w:lineRule="auto"/>
        <w:ind w:right="-21"/>
        <w:rPr>
          <w:rFonts w:ascii="楷体" w:hAnsi="楷体" w:eastAsia="楷体" w:cs="楷体"/>
          <w:sz w:val="32"/>
          <w:szCs w:val="32"/>
        </w:rPr>
      </w:pPr>
      <w:r>
        <w:rPr>
          <w:rFonts w:hint="eastAsia" w:ascii="楷体" w:hAnsi="楷体" w:eastAsia="楷体" w:cs="楷体"/>
          <w:sz w:val="32"/>
          <w:szCs w:val="32"/>
        </w:rPr>
        <w:t>未采用国际标准。</w:t>
      </w:r>
    </w:p>
    <w:p w14:paraId="16625A96">
      <w:pPr>
        <w:ind w:firstLine="640" w:firstLineChars="200"/>
        <w:rPr>
          <w:rFonts w:ascii="黑体" w:hAnsi="黑体" w:eastAsia="黑体" w:cs="黑体"/>
          <w:sz w:val="32"/>
          <w:szCs w:val="32"/>
        </w:rPr>
      </w:pPr>
      <w:r>
        <w:rPr>
          <w:rFonts w:hint="eastAsia" w:ascii="黑体" w:hAnsi="黑体" w:eastAsia="黑体" w:cs="黑体"/>
          <w:sz w:val="32"/>
          <w:szCs w:val="32"/>
        </w:rPr>
        <w:t>五、与有关的现行法律、法规和标准的关系</w:t>
      </w:r>
    </w:p>
    <w:p w14:paraId="2682931C">
      <w:pPr>
        <w:pStyle w:val="3"/>
        <w:spacing w:before="0" w:line="360" w:lineRule="auto"/>
        <w:ind w:right="-21"/>
        <w:rPr>
          <w:rFonts w:ascii="楷体" w:hAnsi="楷体" w:eastAsia="楷体" w:cs="楷体"/>
          <w:sz w:val="32"/>
          <w:szCs w:val="32"/>
        </w:rPr>
      </w:pPr>
      <w:r>
        <w:rPr>
          <w:rFonts w:hint="eastAsia" w:ascii="楷体" w:hAnsi="楷体" w:eastAsia="楷体" w:cs="楷体"/>
          <w:sz w:val="32"/>
          <w:szCs w:val="32"/>
        </w:rPr>
        <w:t>本标准的制定符合现行法律、法规和强制性国家标准的要求，无矛盾冲突。</w:t>
      </w:r>
    </w:p>
    <w:p w14:paraId="1F0D4003">
      <w:pPr>
        <w:ind w:firstLine="640" w:firstLineChars="200"/>
        <w:rPr>
          <w:rFonts w:ascii="黑体" w:hAnsi="黑体" w:eastAsia="黑体" w:cs="黑体"/>
          <w:sz w:val="32"/>
          <w:szCs w:val="32"/>
        </w:rPr>
      </w:pPr>
      <w:r>
        <w:rPr>
          <w:rFonts w:hint="eastAsia" w:ascii="黑体" w:hAnsi="黑体" w:eastAsia="黑体" w:cs="黑体"/>
          <w:sz w:val="32"/>
          <w:szCs w:val="32"/>
        </w:rPr>
        <w:t>六、重大分歧意见的处理经过和依据</w:t>
      </w:r>
    </w:p>
    <w:p w14:paraId="7283267A">
      <w:pPr>
        <w:pStyle w:val="3"/>
        <w:spacing w:before="0" w:line="360" w:lineRule="auto"/>
        <w:ind w:right="-21"/>
        <w:rPr>
          <w:rFonts w:ascii="楷体" w:hAnsi="楷体" w:eastAsia="楷体" w:cs="楷体"/>
          <w:sz w:val="32"/>
          <w:szCs w:val="32"/>
        </w:rPr>
      </w:pPr>
      <w:r>
        <w:rPr>
          <w:rFonts w:hint="eastAsia" w:ascii="楷体" w:hAnsi="楷体" w:eastAsia="楷体" w:cs="楷体"/>
          <w:sz w:val="32"/>
          <w:szCs w:val="32"/>
        </w:rPr>
        <w:t>无重大意见分歧。</w:t>
      </w:r>
    </w:p>
    <w:p w14:paraId="0F288CCA">
      <w:pPr>
        <w:ind w:firstLine="640" w:firstLineChars="200"/>
        <w:rPr>
          <w:rFonts w:ascii="黑体" w:hAnsi="黑体" w:eastAsia="黑体" w:cs="黑体"/>
          <w:sz w:val="32"/>
          <w:szCs w:val="32"/>
        </w:rPr>
      </w:pPr>
      <w:r>
        <w:rPr>
          <w:rFonts w:hint="eastAsia" w:ascii="黑体" w:hAnsi="黑体" w:eastAsia="黑体" w:cs="黑体"/>
          <w:sz w:val="32"/>
          <w:szCs w:val="32"/>
        </w:rPr>
        <w:t>七、实施建议</w:t>
      </w:r>
    </w:p>
    <w:p w14:paraId="24728651">
      <w:pPr>
        <w:pStyle w:val="3"/>
        <w:spacing w:before="0" w:line="360" w:lineRule="auto"/>
        <w:ind w:right="-21"/>
        <w:rPr>
          <w:rFonts w:ascii="楷体" w:hAnsi="楷体" w:eastAsia="楷体" w:cs="楷体"/>
          <w:sz w:val="32"/>
          <w:szCs w:val="32"/>
        </w:rPr>
      </w:pPr>
      <w:r>
        <w:rPr>
          <w:rFonts w:hint="eastAsia" w:ascii="楷体" w:hAnsi="楷体" w:eastAsia="楷体" w:cs="楷体"/>
          <w:sz w:val="32"/>
          <w:szCs w:val="32"/>
        </w:rPr>
        <w:t>1.分会通过官方微信公众号、网站进行宣贯，组织开展专项培训活动，邀请起草单位针对标准重点内容及技术指标进行详细解读，并对重点问题进行专业解答。</w:t>
      </w:r>
    </w:p>
    <w:p w14:paraId="27A25842">
      <w:pPr>
        <w:pStyle w:val="3"/>
        <w:spacing w:before="0" w:line="360" w:lineRule="auto"/>
        <w:ind w:right="-21"/>
        <w:rPr>
          <w:rFonts w:ascii="楷体" w:hAnsi="楷体" w:eastAsia="楷体" w:cs="楷体"/>
          <w:sz w:val="32"/>
          <w:szCs w:val="32"/>
        </w:rPr>
      </w:pPr>
      <w:r>
        <w:rPr>
          <w:rFonts w:hint="eastAsia" w:ascii="楷体" w:hAnsi="楷体" w:eastAsia="楷体" w:cs="楷体"/>
          <w:sz w:val="32"/>
          <w:szCs w:val="32"/>
        </w:rPr>
        <w:t>2.标准落地后开展标准走进企业活动，指导企业按照本标准完成液体化工库数字化建设，并</w:t>
      </w:r>
      <w:bookmarkStart w:id="20" w:name="_GoBack"/>
      <w:bookmarkEnd w:id="20"/>
      <w:r>
        <w:rPr>
          <w:rFonts w:hint="eastAsia" w:ascii="楷体" w:hAnsi="楷体" w:eastAsia="楷体" w:cs="楷体"/>
          <w:sz w:val="32"/>
          <w:szCs w:val="32"/>
        </w:rPr>
        <w:t>给出完善意见。</w:t>
      </w:r>
    </w:p>
    <w:p w14:paraId="7C403305">
      <w:pPr>
        <w:pStyle w:val="3"/>
        <w:spacing w:before="0" w:line="360" w:lineRule="auto"/>
        <w:ind w:right="-21"/>
        <w:rPr>
          <w:rFonts w:ascii="楷体" w:hAnsi="楷体" w:eastAsia="楷体" w:cs="楷体"/>
          <w:sz w:val="32"/>
          <w:szCs w:val="32"/>
        </w:rPr>
      </w:pPr>
      <w:r>
        <w:rPr>
          <w:rFonts w:hint="eastAsia" w:ascii="楷体" w:hAnsi="楷体" w:eastAsia="楷体" w:cs="楷体"/>
          <w:sz w:val="32"/>
          <w:szCs w:val="32"/>
        </w:rPr>
        <w:t>3.加强与各地方协会的合作，在各地方区域组织开展标准宣贯会，并通过对标检查培育一批优秀示范单位，逐步引导更多的企业使用标准。</w:t>
      </w:r>
    </w:p>
    <w:p w14:paraId="72C1D7D4">
      <w:pPr>
        <w:ind w:firstLine="640" w:firstLineChars="200"/>
        <w:rPr>
          <w:rFonts w:ascii="黑体" w:hAnsi="黑体" w:eastAsia="黑体" w:cs="黑体"/>
          <w:sz w:val="32"/>
          <w:szCs w:val="32"/>
        </w:rPr>
      </w:pPr>
      <w:r>
        <w:rPr>
          <w:rFonts w:hint="eastAsia" w:ascii="黑体" w:hAnsi="黑体" w:eastAsia="黑体" w:cs="黑体"/>
          <w:sz w:val="32"/>
          <w:szCs w:val="32"/>
        </w:rPr>
        <w:t>八、废止现行有关标准的建议</w:t>
      </w:r>
    </w:p>
    <w:p w14:paraId="33710C8B">
      <w:pPr>
        <w:pStyle w:val="3"/>
        <w:spacing w:before="0" w:line="360" w:lineRule="auto"/>
        <w:ind w:right="-21"/>
        <w:rPr>
          <w:rFonts w:ascii="楷体" w:hAnsi="楷体" w:eastAsia="楷体" w:cs="楷体"/>
          <w:sz w:val="32"/>
          <w:szCs w:val="32"/>
        </w:rPr>
      </w:pPr>
      <w:r>
        <w:rPr>
          <w:rFonts w:hint="eastAsia" w:ascii="楷体" w:hAnsi="楷体" w:eastAsia="楷体" w:cs="楷体"/>
          <w:sz w:val="32"/>
          <w:szCs w:val="32"/>
        </w:rPr>
        <w:t>无。</w:t>
      </w:r>
    </w:p>
    <w:p w14:paraId="6ADF210C">
      <w:pPr>
        <w:ind w:firstLine="640" w:firstLineChars="200"/>
        <w:rPr>
          <w:rFonts w:ascii="黑体" w:hAnsi="黑体" w:eastAsia="黑体" w:cs="黑体"/>
          <w:sz w:val="32"/>
          <w:szCs w:val="32"/>
        </w:rPr>
      </w:pPr>
      <w:r>
        <w:rPr>
          <w:rFonts w:hint="eastAsia" w:ascii="黑体" w:hAnsi="黑体" w:eastAsia="黑体" w:cs="黑体"/>
          <w:sz w:val="32"/>
          <w:szCs w:val="32"/>
        </w:rPr>
        <w:t>九、其他应当说明的事项</w:t>
      </w:r>
    </w:p>
    <w:p w14:paraId="715A9FE0">
      <w:pPr>
        <w:pStyle w:val="3"/>
        <w:spacing w:before="0" w:line="360" w:lineRule="auto"/>
        <w:ind w:right="-21"/>
        <w:rPr>
          <w:rFonts w:ascii="楷体" w:hAnsi="楷体" w:eastAsia="楷体" w:cs="楷体"/>
          <w:sz w:val="32"/>
          <w:szCs w:val="32"/>
        </w:rPr>
      </w:pPr>
      <w:r>
        <w:rPr>
          <w:rFonts w:hint="eastAsia" w:ascii="楷体" w:hAnsi="楷体" w:eastAsia="楷体" w:cs="楷体"/>
          <w:sz w:val="32"/>
          <w:szCs w:val="32"/>
        </w:rPr>
        <w:t>无。</w:t>
      </w:r>
    </w:p>
    <w:p w14:paraId="145743A1">
      <w:pPr>
        <w:ind w:firstLine="640" w:firstLineChars="200"/>
        <w:rPr>
          <w:rFonts w:ascii="仿宋" w:hAnsi="仿宋" w:eastAsia="仿宋" w:cs="楷体"/>
          <w:sz w:val="32"/>
          <w:szCs w:val="32"/>
        </w:rPr>
      </w:pPr>
    </w:p>
    <w:p w14:paraId="32EBE2C0">
      <w:pPr>
        <w:jc w:val="right"/>
        <w:rPr>
          <w:rFonts w:ascii="楷体" w:hAnsi="楷体" w:eastAsia="楷体" w:cs="楷体"/>
          <w:sz w:val="32"/>
          <w:szCs w:val="32"/>
        </w:rPr>
      </w:pPr>
      <w:r>
        <w:rPr>
          <w:rFonts w:hint="eastAsia" w:ascii="楷体" w:hAnsi="楷体" w:eastAsia="楷体" w:cs="楷体"/>
          <w:sz w:val="32"/>
          <w:szCs w:val="32"/>
        </w:rPr>
        <w:t>2024年8月22日</w:t>
      </w:r>
    </w:p>
    <w:sectPr>
      <w:pgSz w:w="11906" w:h="16838"/>
      <w:pgMar w:top="1440" w:right="17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5"/>
      <w:suff w:val="nothing"/>
      <w:lvlText w:val="%1"/>
      <w:lvlJc w:val="left"/>
      <w:pPr>
        <w:ind w:left="0" w:firstLine="0"/>
      </w:pPr>
      <w:rPr>
        <w:rFonts w:hint="eastAsia"/>
      </w:rPr>
    </w:lvl>
    <w:lvl w:ilvl="1" w:tentative="0">
      <w:start w:val="1"/>
      <w:numFmt w:val="decimal"/>
      <w:pStyle w:val="23"/>
      <w:suff w:val="nothing"/>
      <w:lvlText w:val="%1%2　"/>
      <w:lvlJc w:val="left"/>
      <w:pPr>
        <w:ind w:left="0" w:firstLine="0"/>
      </w:pPr>
      <w:rPr>
        <w:rFonts w:hint="eastAsia" w:ascii="黑体" w:eastAsia="黑体"/>
        <w:b w:val="0"/>
        <w:i w:val="0"/>
        <w:sz w:val="21"/>
      </w:rPr>
    </w:lvl>
    <w:lvl w:ilvl="2" w:tentative="0">
      <w:start w:val="1"/>
      <w:numFmt w:val="decimal"/>
      <w:pStyle w:val="2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9"/>
      <w:suff w:val="nothing"/>
      <w:lvlText w:val="%1%2.%3.%4　"/>
      <w:lvlJc w:val="left"/>
      <w:pPr>
        <w:ind w:left="0" w:firstLine="0"/>
      </w:pPr>
      <w:rPr>
        <w:rFonts w:hint="eastAsia" w:ascii="黑体" w:eastAsia="黑体"/>
        <w:b w:val="0"/>
        <w:i w:val="0"/>
        <w:sz w:val="21"/>
      </w:rPr>
    </w:lvl>
    <w:lvl w:ilvl="4" w:tentative="0">
      <w:start w:val="1"/>
      <w:numFmt w:val="decimal"/>
      <w:pStyle w:val="20"/>
      <w:suff w:val="nothing"/>
      <w:lvlText w:val="%1%2.%3.%4.%5　"/>
      <w:lvlJc w:val="left"/>
      <w:pPr>
        <w:ind w:left="0" w:firstLine="0"/>
      </w:pPr>
      <w:rPr>
        <w:rFonts w:hint="eastAsia" w:ascii="黑体" w:eastAsia="黑体"/>
        <w:b w:val="0"/>
        <w:i w:val="0"/>
        <w:sz w:val="21"/>
      </w:rPr>
    </w:lvl>
    <w:lvl w:ilvl="5" w:tentative="0">
      <w:start w:val="1"/>
      <w:numFmt w:val="decimal"/>
      <w:pStyle w:val="21"/>
      <w:suff w:val="nothing"/>
      <w:lvlText w:val="%1%2.%3.%4.%5.%6　"/>
      <w:lvlJc w:val="left"/>
      <w:pPr>
        <w:ind w:left="0" w:firstLine="0"/>
      </w:pPr>
      <w:rPr>
        <w:rFonts w:hint="eastAsia" w:ascii="黑体" w:eastAsia="黑体"/>
        <w:b w:val="0"/>
        <w:i w:val="0"/>
        <w:sz w:val="21"/>
      </w:rPr>
    </w:lvl>
    <w:lvl w:ilvl="6" w:tentative="0">
      <w:start w:val="1"/>
      <w:numFmt w:val="decimal"/>
      <w:pStyle w:val="2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5NGQyNWVkZmEwOGQzMzkwZjNlMzhkZDU5NWYyNWIifQ=="/>
  </w:docVars>
  <w:rsids>
    <w:rsidRoot w:val="3B6644BA"/>
    <w:rsid w:val="00001A85"/>
    <w:rsid w:val="00006B40"/>
    <w:rsid w:val="00011C31"/>
    <w:rsid w:val="0001343B"/>
    <w:rsid w:val="00013B0E"/>
    <w:rsid w:val="00027522"/>
    <w:rsid w:val="00030F9E"/>
    <w:rsid w:val="00044BC8"/>
    <w:rsid w:val="00047F54"/>
    <w:rsid w:val="0007143B"/>
    <w:rsid w:val="000716D7"/>
    <w:rsid w:val="00074193"/>
    <w:rsid w:val="0007423D"/>
    <w:rsid w:val="000818A0"/>
    <w:rsid w:val="00084341"/>
    <w:rsid w:val="000845CD"/>
    <w:rsid w:val="00095B67"/>
    <w:rsid w:val="00097E65"/>
    <w:rsid w:val="000A63B6"/>
    <w:rsid w:val="000A78AD"/>
    <w:rsid w:val="000B5891"/>
    <w:rsid w:val="000C28E9"/>
    <w:rsid w:val="000D31AD"/>
    <w:rsid w:val="000D69EB"/>
    <w:rsid w:val="000E0922"/>
    <w:rsid w:val="000E20EC"/>
    <w:rsid w:val="000E5324"/>
    <w:rsid w:val="00100F27"/>
    <w:rsid w:val="00101AE9"/>
    <w:rsid w:val="00101DB3"/>
    <w:rsid w:val="00106710"/>
    <w:rsid w:val="001210B2"/>
    <w:rsid w:val="00123BC6"/>
    <w:rsid w:val="00125146"/>
    <w:rsid w:val="00125D85"/>
    <w:rsid w:val="00130077"/>
    <w:rsid w:val="001328A7"/>
    <w:rsid w:val="00134D08"/>
    <w:rsid w:val="00136C8B"/>
    <w:rsid w:val="0014306A"/>
    <w:rsid w:val="001506CE"/>
    <w:rsid w:val="0016285C"/>
    <w:rsid w:val="00165E8C"/>
    <w:rsid w:val="00170FC3"/>
    <w:rsid w:val="001729DC"/>
    <w:rsid w:val="00175889"/>
    <w:rsid w:val="00185463"/>
    <w:rsid w:val="001854D5"/>
    <w:rsid w:val="00193FEA"/>
    <w:rsid w:val="001A1744"/>
    <w:rsid w:val="001A4AE2"/>
    <w:rsid w:val="001B2EEA"/>
    <w:rsid w:val="001C5E96"/>
    <w:rsid w:val="001D7F2D"/>
    <w:rsid w:val="001F7807"/>
    <w:rsid w:val="00214E04"/>
    <w:rsid w:val="00215652"/>
    <w:rsid w:val="002219BA"/>
    <w:rsid w:val="00221ECF"/>
    <w:rsid w:val="00226785"/>
    <w:rsid w:val="00226AEC"/>
    <w:rsid w:val="00242FAE"/>
    <w:rsid w:val="0025488D"/>
    <w:rsid w:val="00264773"/>
    <w:rsid w:val="00266863"/>
    <w:rsid w:val="00266DAE"/>
    <w:rsid w:val="002725AE"/>
    <w:rsid w:val="00273E3D"/>
    <w:rsid w:val="0027532F"/>
    <w:rsid w:val="002802C6"/>
    <w:rsid w:val="00286012"/>
    <w:rsid w:val="0028649F"/>
    <w:rsid w:val="00287529"/>
    <w:rsid w:val="002925F6"/>
    <w:rsid w:val="002A6A24"/>
    <w:rsid w:val="002C2BF8"/>
    <w:rsid w:val="002C3473"/>
    <w:rsid w:val="002C6127"/>
    <w:rsid w:val="002D4E05"/>
    <w:rsid w:val="002E0BD2"/>
    <w:rsid w:val="002E7663"/>
    <w:rsid w:val="0030271B"/>
    <w:rsid w:val="00304930"/>
    <w:rsid w:val="003067AB"/>
    <w:rsid w:val="00314E82"/>
    <w:rsid w:val="00317146"/>
    <w:rsid w:val="00330403"/>
    <w:rsid w:val="00333B35"/>
    <w:rsid w:val="003351D1"/>
    <w:rsid w:val="00336D02"/>
    <w:rsid w:val="003466D3"/>
    <w:rsid w:val="00347D25"/>
    <w:rsid w:val="00353190"/>
    <w:rsid w:val="003610FC"/>
    <w:rsid w:val="00363810"/>
    <w:rsid w:val="00370434"/>
    <w:rsid w:val="00371332"/>
    <w:rsid w:val="00381589"/>
    <w:rsid w:val="00381B86"/>
    <w:rsid w:val="003B1106"/>
    <w:rsid w:val="003C70AC"/>
    <w:rsid w:val="003C79B5"/>
    <w:rsid w:val="003D0C78"/>
    <w:rsid w:val="003E0FCA"/>
    <w:rsid w:val="003F157B"/>
    <w:rsid w:val="003F1C5D"/>
    <w:rsid w:val="003F76F8"/>
    <w:rsid w:val="00425675"/>
    <w:rsid w:val="004261B3"/>
    <w:rsid w:val="0043709D"/>
    <w:rsid w:val="00442A52"/>
    <w:rsid w:val="0044302C"/>
    <w:rsid w:val="0044629C"/>
    <w:rsid w:val="00451FA0"/>
    <w:rsid w:val="00466F15"/>
    <w:rsid w:val="00480221"/>
    <w:rsid w:val="00485197"/>
    <w:rsid w:val="00496D46"/>
    <w:rsid w:val="004A4F15"/>
    <w:rsid w:val="004A52D9"/>
    <w:rsid w:val="004C20F1"/>
    <w:rsid w:val="004E2718"/>
    <w:rsid w:val="004F0488"/>
    <w:rsid w:val="004F1515"/>
    <w:rsid w:val="00514778"/>
    <w:rsid w:val="00517535"/>
    <w:rsid w:val="005338B7"/>
    <w:rsid w:val="00535C00"/>
    <w:rsid w:val="00551303"/>
    <w:rsid w:val="005621C5"/>
    <w:rsid w:val="00564E12"/>
    <w:rsid w:val="00575187"/>
    <w:rsid w:val="005775ED"/>
    <w:rsid w:val="00597D0D"/>
    <w:rsid w:val="005A1FC4"/>
    <w:rsid w:val="005A575E"/>
    <w:rsid w:val="005B1ABF"/>
    <w:rsid w:val="005B268E"/>
    <w:rsid w:val="005B2719"/>
    <w:rsid w:val="005B2B38"/>
    <w:rsid w:val="005C6B6A"/>
    <w:rsid w:val="005C7EF6"/>
    <w:rsid w:val="005D037B"/>
    <w:rsid w:val="005D4E4F"/>
    <w:rsid w:val="005E018F"/>
    <w:rsid w:val="005E6E60"/>
    <w:rsid w:val="005F1764"/>
    <w:rsid w:val="005F46E2"/>
    <w:rsid w:val="005F5B70"/>
    <w:rsid w:val="006039FD"/>
    <w:rsid w:val="00631B3D"/>
    <w:rsid w:val="006326C1"/>
    <w:rsid w:val="00633243"/>
    <w:rsid w:val="00641DFD"/>
    <w:rsid w:val="00642FF2"/>
    <w:rsid w:val="006470BF"/>
    <w:rsid w:val="006600CE"/>
    <w:rsid w:val="00663402"/>
    <w:rsid w:val="00663DDD"/>
    <w:rsid w:val="00665274"/>
    <w:rsid w:val="00665784"/>
    <w:rsid w:val="00672127"/>
    <w:rsid w:val="006841A6"/>
    <w:rsid w:val="00694D8F"/>
    <w:rsid w:val="006A063C"/>
    <w:rsid w:val="006A2388"/>
    <w:rsid w:val="006A722A"/>
    <w:rsid w:val="006B3654"/>
    <w:rsid w:val="006B3CE4"/>
    <w:rsid w:val="006B6EBA"/>
    <w:rsid w:val="006C1AAC"/>
    <w:rsid w:val="006D39BC"/>
    <w:rsid w:val="007014AF"/>
    <w:rsid w:val="0070210B"/>
    <w:rsid w:val="007033B1"/>
    <w:rsid w:val="00712CA9"/>
    <w:rsid w:val="00721066"/>
    <w:rsid w:val="00730E66"/>
    <w:rsid w:val="00733788"/>
    <w:rsid w:val="007338E6"/>
    <w:rsid w:val="00745333"/>
    <w:rsid w:val="00750E06"/>
    <w:rsid w:val="00752033"/>
    <w:rsid w:val="00766C8A"/>
    <w:rsid w:val="00767A67"/>
    <w:rsid w:val="00770E54"/>
    <w:rsid w:val="00773390"/>
    <w:rsid w:val="0078404C"/>
    <w:rsid w:val="0078779C"/>
    <w:rsid w:val="00790E01"/>
    <w:rsid w:val="00790E63"/>
    <w:rsid w:val="007950FE"/>
    <w:rsid w:val="007A46A5"/>
    <w:rsid w:val="007A5BEC"/>
    <w:rsid w:val="007A5FFF"/>
    <w:rsid w:val="007C021C"/>
    <w:rsid w:val="007C0BAC"/>
    <w:rsid w:val="007C3295"/>
    <w:rsid w:val="007E484A"/>
    <w:rsid w:val="00803247"/>
    <w:rsid w:val="008100FC"/>
    <w:rsid w:val="008173E5"/>
    <w:rsid w:val="008232F0"/>
    <w:rsid w:val="0083251B"/>
    <w:rsid w:val="00833B93"/>
    <w:rsid w:val="008377C8"/>
    <w:rsid w:val="008514AE"/>
    <w:rsid w:val="00855BD1"/>
    <w:rsid w:val="00863B16"/>
    <w:rsid w:val="00863E7F"/>
    <w:rsid w:val="008718D3"/>
    <w:rsid w:val="008764BA"/>
    <w:rsid w:val="00877822"/>
    <w:rsid w:val="00893322"/>
    <w:rsid w:val="008941F8"/>
    <w:rsid w:val="00894C17"/>
    <w:rsid w:val="00897C00"/>
    <w:rsid w:val="008B069C"/>
    <w:rsid w:val="008B562F"/>
    <w:rsid w:val="008C156D"/>
    <w:rsid w:val="008C3002"/>
    <w:rsid w:val="008D1FD5"/>
    <w:rsid w:val="008D5431"/>
    <w:rsid w:val="008E433E"/>
    <w:rsid w:val="008F0816"/>
    <w:rsid w:val="00903B51"/>
    <w:rsid w:val="009067AE"/>
    <w:rsid w:val="00911866"/>
    <w:rsid w:val="0091350F"/>
    <w:rsid w:val="00915B50"/>
    <w:rsid w:val="00927DD3"/>
    <w:rsid w:val="00931CF0"/>
    <w:rsid w:val="00932BEE"/>
    <w:rsid w:val="009406B6"/>
    <w:rsid w:val="00941110"/>
    <w:rsid w:val="00942123"/>
    <w:rsid w:val="00947F65"/>
    <w:rsid w:val="009507A9"/>
    <w:rsid w:val="009507C7"/>
    <w:rsid w:val="009558EC"/>
    <w:rsid w:val="00971F5B"/>
    <w:rsid w:val="00996294"/>
    <w:rsid w:val="00997D78"/>
    <w:rsid w:val="009A131E"/>
    <w:rsid w:val="009A3D8D"/>
    <w:rsid w:val="009A778F"/>
    <w:rsid w:val="009B3669"/>
    <w:rsid w:val="009B6057"/>
    <w:rsid w:val="009B7196"/>
    <w:rsid w:val="009C1C2A"/>
    <w:rsid w:val="009D2661"/>
    <w:rsid w:val="009E1EAD"/>
    <w:rsid w:val="00A0462C"/>
    <w:rsid w:val="00A11EB3"/>
    <w:rsid w:val="00A24A9D"/>
    <w:rsid w:val="00A3023B"/>
    <w:rsid w:val="00A31026"/>
    <w:rsid w:val="00A316B9"/>
    <w:rsid w:val="00A37ACB"/>
    <w:rsid w:val="00A64C3D"/>
    <w:rsid w:val="00A664D6"/>
    <w:rsid w:val="00A72F4A"/>
    <w:rsid w:val="00A750BF"/>
    <w:rsid w:val="00A77E5B"/>
    <w:rsid w:val="00A8372A"/>
    <w:rsid w:val="00A844C3"/>
    <w:rsid w:val="00A928C4"/>
    <w:rsid w:val="00A97E0A"/>
    <w:rsid w:val="00AA02C5"/>
    <w:rsid w:val="00AA74C8"/>
    <w:rsid w:val="00AB121C"/>
    <w:rsid w:val="00AC3473"/>
    <w:rsid w:val="00AD7ABB"/>
    <w:rsid w:val="00AE05F8"/>
    <w:rsid w:val="00AE3B9C"/>
    <w:rsid w:val="00B039EE"/>
    <w:rsid w:val="00B0410B"/>
    <w:rsid w:val="00B1071F"/>
    <w:rsid w:val="00B1216E"/>
    <w:rsid w:val="00B12E15"/>
    <w:rsid w:val="00B24D8F"/>
    <w:rsid w:val="00B41E6D"/>
    <w:rsid w:val="00B42C7F"/>
    <w:rsid w:val="00B636D9"/>
    <w:rsid w:val="00B63A76"/>
    <w:rsid w:val="00B96161"/>
    <w:rsid w:val="00BA2182"/>
    <w:rsid w:val="00BA2AF0"/>
    <w:rsid w:val="00BA3DE9"/>
    <w:rsid w:val="00BB149E"/>
    <w:rsid w:val="00BB2166"/>
    <w:rsid w:val="00BC0844"/>
    <w:rsid w:val="00BC2B1E"/>
    <w:rsid w:val="00BC423D"/>
    <w:rsid w:val="00BC42C0"/>
    <w:rsid w:val="00BC7A32"/>
    <w:rsid w:val="00BD32A4"/>
    <w:rsid w:val="00BD38FF"/>
    <w:rsid w:val="00BE6AC8"/>
    <w:rsid w:val="00BF06E9"/>
    <w:rsid w:val="00BF4E93"/>
    <w:rsid w:val="00BF52B2"/>
    <w:rsid w:val="00BF5393"/>
    <w:rsid w:val="00C074A6"/>
    <w:rsid w:val="00C23921"/>
    <w:rsid w:val="00C33CED"/>
    <w:rsid w:val="00C3652E"/>
    <w:rsid w:val="00C6150E"/>
    <w:rsid w:val="00C6596A"/>
    <w:rsid w:val="00C664B5"/>
    <w:rsid w:val="00C70298"/>
    <w:rsid w:val="00C860D5"/>
    <w:rsid w:val="00C97F4A"/>
    <w:rsid w:val="00CA09BB"/>
    <w:rsid w:val="00CB323B"/>
    <w:rsid w:val="00CB5EA5"/>
    <w:rsid w:val="00CB5F3F"/>
    <w:rsid w:val="00CC1C88"/>
    <w:rsid w:val="00CD2A1B"/>
    <w:rsid w:val="00CE49F3"/>
    <w:rsid w:val="00CE5A16"/>
    <w:rsid w:val="00CF0CE5"/>
    <w:rsid w:val="00CF3679"/>
    <w:rsid w:val="00D00772"/>
    <w:rsid w:val="00D1594E"/>
    <w:rsid w:val="00D25788"/>
    <w:rsid w:val="00D308B2"/>
    <w:rsid w:val="00D35FA0"/>
    <w:rsid w:val="00D4021F"/>
    <w:rsid w:val="00D478B3"/>
    <w:rsid w:val="00D64DBA"/>
    <w:rsid w:val="00D729F6"/>
    <w:rsid w:val="00D81B39"/>
    <w:rsid w:val="00D838CE"/>
    <w:rsid w:val="00D91EFB"/>
    <w:rsid w:val="00D96530"/>
    <w:rsid w:val="00DB66A9"/>
    <w:rsid w:val="00DC368A"/>
    <w:rsid w:val="00DD34FD"/>
    <w:rsid w:val="00DE20AD"/>
    <w:rsid w:val="00DF0BA3"/>
    <w:rsid w:val="00E0229D"/>
    <w:rsid w:val="00E02C8D"/>
    <w:rsid w:val="00E17729"/>
    <w:rsid w:val="00E20F99"/>
    <w:rsid w:val="00E249ED"/>
    <w:rsid w:val="00E3012B"/>
    <w:rsid w:val="00E32CF2"/>
    <w:rsid w:val="00E46604"/>
    <w:rsid w:val="00E539A4"/>
    <w:rsid w:val="00E55BAC"/>
    <w:rsid w:val="00E57B19"/>
    <w:rsid w:val="00E60AFC"/>
    <w:rsid w:val="00E61AD9"/>
    <w:rsid w:val="00E639F5"/>
    <w:rsid w:val="00E65673"/>
    <w:rsid w:val="00E72452"/>
    <w:rsid w:val="00E8411A"/>
    <w:rsid w:val="00E872DB"/>
    <w:rsid w:val="00E9422D"/>
    <w:rsid w:val="00EA1685"/>
    <w:rsid w:val="00EB2D63"/>
    <w:rsid w:val="00EC41DD"/>
    <w:rsid w:val="00EC61E5"/>
    <w:rsid w:val="00ED13DC"/>
    <w:rsid w:val="00EE33B8"/>
    <w:rsid w:val="00EE4760"/>
    <w:rsid w:val="00EE6E27"/>
    <w:rsid w:val="00EF4CE1"/>
    <w:rsid w:val="00EF5296"/>
    <w:rsid w:val="00F01B0B"/>
    <w:rsid w:val="00F05800"/>
    <w:rsid w:val="00F14301"/>
    <w:rsid w:val="00F16AC5"/>
    <w:rsid w:val="00F2225D"/>
    <w:rsid w:val="00F34373"/>
    <w:rsid w:val="00F43FC3"/>
    <w:rsid w:val="00F47E7E"/>
    <w:rsid w:val="00F5694C"/>
    <w:rsid w:val="00F647A0"/>
    <w:rsid w:val="00F759DA"/>
    <w:rsid w:val="00F85170"/>
    <w:rsid w:val="00F94202"/>
    <w:rsid w:val="00FA0D38"/>
    <w:rsid w:val="00FB3D8D"/>
    <w:rsid w:val="00FB50F8"/>
    <w:rsid w:val="00FB5EB2"/>
    <w:rsid w:val="00FC0C2A"/>
    <w:rsid w:val="00FC48D7"/>
    <w:rsid w:val="00FC5E37"/>
    <w:rsid w:val="00FC7C5C"/>
    <w:rsid w:val="00FD7C6D"/>
    <w:rsid w:val="00FE1B3E"/>
    <w:rsid w:val="00FE36F7"/>
    <w:rsid w:val="00FE634B"/>
    <w:rsid w:val="014527E0"/>
    <w:rsid w:val="01EC42B8"/>
    <w:rsid w:val="034D680A"/>
    <w:rsid w:val="0392556B"/>
    <w:rsid w:val="04174BC8"/>
    <w:rsid w:val="043F08EC"/>
    <w:rsid w:val="072231E0"/>
    <w:rsid w:val="072C71F1"/>
    <w:rsid w:val="09413D88"/>
    <w:rsid w:val="0D923643"/>
    <w:rsid w:val="0E1B4801"/>
    <w:rsid w:val="0F46008D"/>
    <w:rsid w:val="0F8E4D7B"/>
    <w:rsid w:val="15413480"/>
    <w:rsid w:val="15907FDC"/>
    <w:rsid w:val="15ED4A05"/>
    <w:rsid w:val="16CF1E1F"/>
    <w:rsid w:val="170A76C1"/>
    <w:rsid w:val="17E1680B"/>
    <w:rsid w:val="1867217A"/>
    <w:rsid w:val="18D8734F"/>
    <w:rsid w:val="18E54848"/>
    <w:rsid w:val="19A62076"/>
    <w:rsid w:val="1A2A6496"/>
    <w:rsid w:val="1C73715A"/>
    <w:rsid w:val="1DAC30DA"/>
    <w:rsid w:val="1F465E8F"/>
    <w:rsid w:val="22777571"/>
    <w:rsid w:val="235A6A54"/>
    <w:rsid w:val="23B75AD9"/>
    <w:rsid w:val="24347C64"/>
    <w:rsid w:val="26F31699"/>
    <w:rsid w:val="273B11E2"/>
    <w:rsid w:val="27CD6791"/>
    <w:rsid w:val="27F36E5E"/>
    <w:rsid w:val="28FE44BF"/>
    <w:rsid w:val="29BB5D72"/>
    <w:rsid w:val="2AC84BEB"/>
    <w:rsid w:val="2C526E44"/>
    <w:rsid w:val="2D0855E2"/>
    <w:rsid w:val="2DA41CE1"/>
    <w:rsid w:val="2E84119C"/>
    <w:rsid w:val="30EE62A0"/>
    <w:rsid w:val="31807FCD"/>
    <w:rsid w:val="31BD5A98"/>
    <w:rsid w:val="33204EC2"/>
    <w:rsid w:val="33595B98"/>
    <w:rsid w:val="35A52FD0"/>
    <w:rsid w:val="37486C96"/>
    <w:rsid w:val="37941808"/>
    <w:rsid w:val="37F47FF5"/>
    <w:rsid w:val="38A169E7"/>
    <w:rsid w:val="38CF35E8"/>
    <w:rsid w:val="38F8097E"/>
    <w:rsid w:val="397523E2"/>
    <w:rsid w:val="3A6415CF"/>
    <w:rsid w:val="3B6644BA"/>
    <w:rsid w:val="3E2D6890"/>
    <w:rsid w:val="3F0D54E9"/>
    <w:rsid w:val="40D55514"/>
    <w:rsid w:val="44A06480"/>
    <w:rsid w:val="44AF4552"/>
    <w:rsid w:val="44C02694"/>
    <w:rsid w:val="44FC39B7"/>
    <w:rsid w:val="45177712"/>
    <w:rsid w:val="462A3CE4"/>
    <w:rsid w:val="462A7281"/>
    <w:rsid w:val="490D12B6"/>
    <w:rsid w:val="49A6512A"/>
    <w:rsid w:val="4A054B02"/>
    <w:rsid w:val="4C7C718B"/>
    <w:rsid w:val="4DE02320"/>
    <w:rsid w:val="4DFE4C02"/>
    <w:rsid w:val="4FBD3D43"/>
    <w:rsid w:val="501957B3"/>
    <w:rsid w:val="5161076C"/>
    <w:rsid w:val="51CC766D"/>
    <w:rsid w:val="52A8582E"/>
    <w:rsid w:val="53F8359B"/>
    <w:rsid w:val="572E4912"/>
    <w:rsid w:val="57E372F2"/>
    <w:rsid w:val="582822FD"/>
    <w:rsid w:val="58A27F7A"/>
    <w:rsid w:val="59C31340"/>
    <w:rsid w:val="59E7535C"/>
    <w:rsid w:val="5AF1206A"/>
    <w:rsid w:val="5B3A31F8"/>
    <w:rsid w:val="5BD0399A"/>
    <w:rsid w:val="5C324358"/>
    <w:rsid w:val="5C905AA1"/>
    <w:rsid w:val="5E4D2736"/>
    <w:rsid w:val="5EAB06F2"/>
    <w:rsid w:val="5F2B5FC3"/>
    <w:rsid w:val="600D4A0F"/>
    <w:rsid w:val="612754C0"/>
    <w:rsid w:val="62F52E8D"/>
    <w:rsid w:val="65585C2D"/>
    <w:rsid w:val="65861CC6"/>
    <w:rsid w:val="66020D73"/>
    <w:rsid w:val="68A06604"/>
    <w:rsid w:val="68DA775A"/>
    <w:rsid w:val="692B3C7E"/>
    <w:rsid w:val="699403F0"/>
    <w:rsid w:val="6A3540A2"/>
    <w:rsid w:val="6A464C09"/>
    <w:rsid w:val="6A4C3FFC"/>
    <w:rsid w:val="6AF77510"/>
    <w:rsid w:val="6DC36380"/>
    <w:rsid w:val="6F446B3E"/>
    <w:rsid w:val="70A14ACD"/>
    <w:rsid w:val="72AA5FE6"/>
    <w:rsid w:val="73E67988"/>
    <w:rsid w:val="76B75E55"/>
    <w:rsid w:val="7D947B39"/>
    <w:rsid w:val="7DB67EA0"/>
    <w:rsid w:val="7DC91CF8"/>
    <w:rsid w:val="7F4803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link w:val="35"/>
    <w:qFormat/>
    <w:uiPriority w:val="1"/>
    <w:pPr>
      <w:autoSpaceDE w:val="0"/>
      <w:autoSpaceDN w:val="0"/>
      <w:ind w:left="380"/>
      <w:jc w:val="left"/>
      <w:outlineLvl w:val="0"/>
    </w:pPr>
    <w:rPr>
      <w:rFonts w:ascii="仿宋" w:hAnsi="仿宋" w:eastAsia="仿宋" w:cs="仿宋"/>
      <w:b/>
      <w:bCs/>
      <w:kern w:val="0"/>
      <w:sz w:val="28"/>
      <w:szCs w:val="28"/>
    </w:rPr>
  </w:style>
  <w:style w:type="paragraph" w:styleId="5">
    <w:name w:val="heading 2"/>
    <w:basedOn w:val="1"/>
    <w:link w:val="36"/>
    <w:qFormat/>
    <w:uiPriority w:val="1"/>
    <w:pPr>
      <w:autoSpaceDE w:val="0"/>
      <w:autoSpaceDN w:val="0"/>
      <w:spacing w:before="2"/>
      <w:ind w:left="860"/>
      <w:jc w:val="left"/>
      <w:outlineLvl w:val="1"/>
    </w:pPr>
    <w:rPr>
      <w:rFonts w:ascii="仿宋" w:hAnsi="仿宋" w:eastAsia="仿宋" w:cs="仿宋"/>
      <w:b/>
      <w:bCs/>
      <w:kern w:val="0"/>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99"/>
    <w:pPr>
      <w:jc w:val="center"/>
    </w:pPr>
    <w:rPr>
      <w:rFonts w:ascii="仿宋" w:hAnsi="仿宋" w:eastAsia="仿宋" w:cs="楷体"/>
      <w:szCs w:val="21"/>
    </w:rPr>
  </w:style>
  <w:style w:type="paragraph" w:styleId="3">
    <w:name w:val="Body Text"/>
    <w:basedOn w:val="1"/>
    <w:link w:val="33"/>
    <w:autoRedefine/>
    <w:qFormat/>
    <w:uiPriority w:val="1"/>
    <w:pPr>
      <w:autoSpaceDE w:val="0"/>
      <w:autoSpaceDN w:val="0"/>
      <w:spacing w:before="161" w:line="364" w:lineRule="auto"/>
      <w:ind w:left="380" w:right="261" w:firstLine="480"/>
    </w:pPr>
  </w:style>
  <w:style w:type="paragraph" w:styleId="6">
    <w:name w:val="annotation text"/>
    <w:basedOn w:val="1"/>
    <w:link w:val="31"/>
    <w:autoRedefine/>
    <w:qFormat/>
    <w:uiPriority w:val="0"/>
    <w:pPr>
      <w:jc w:val="left"/>
    </w:pPr>
  </w:style>
  <w:style w:type="paragraph" w:styleId="7">
    <w:name w:val="Balloon Text"/>
    <w:basedOn w:val="1"/>
    <w:link w:val="26"/>
    <w:autoRedefine/>
    <w:qFormat/>
    <w:uiPriority w:val="0"/>
    <w:rPr>
      <w:sz w:val="18"/>
      <w:szCs w:val="18"/>
    </w:rPr>
  </w:style>
  <w:style w:type="paragraph" w:styleId="8">
    <w:name w:val="footer"/>
    <w:basedOn w:val="1"/>
    <w:link w:val="18"/>
    <w:autoRedefine/>
    <w:qFormat/>
    <w:uiPriority w:val="0"/>
    <w:pPr>
      <w:tabs>
        <w:tab w:val="center" w:pos="4153"/>
        <w:tab w:val="right" w:pos="8306"/>
      </w:tabs>
      <w:snapToGrid w:val="0"/>
      <w:jc w:val="left"/>
    </w:pPr>
    <w:rPr>
      <w:sz w:val="18"/>
      <w:szCs w:val="18"/>
    </w:rPr>
  </w:style>
  <w:style w:type="paragraph" w:styleId="9">
    <w:name w:val="header"/>
    <w:basedOn w:val="1"/>
    <w:link w:val="17"/>
    <w:autoRedefine/>
    <w:qFormat/>
    <w:uiPriority w:val="0"/>
    <w:pPr>
      <w:tabs>
        <w:tab w:val="center" w:pos="4153"/>
        <w:tab w:val="right" w:pos="8306"/>
      </w:tabs>
      <w:snapToGrid w:val="0"/>
      <w:jc w:val="center"/>
    </w:pPr>
    <w:rPr>
      <w:sz w:val="18"/>
      <w:szCs w:val="18"/>
    </w:rPr>
  </w:style>
  <w:style w:type="paragraph" w:styleId="10">
    <w:name w:val="Title"/>
    <w:basedOn w:val="1"/>
    <w:link w:val="34"/>
    <w:qFormat/>
    <w:uiPriority w:val="1"/>
    <w:pPr>
      <w:autoSpaceDE w:val="0"/>
      <w:autoSpaceDN w:val="0"/>
      <w:ind w:left="422" w:right="424"/>
      <w:jc w:val="center"/>
    </w:pPr>
    <w:rPr>
      <w:rFonts w:ascii="仿宋" w:hAnsi="仿宋" w:eastAsia="仿宋" w:cs="仿宋"/>
      <w:b/>
      <w:bCs/>
      <w:kern w:val="0"/>
      <w:sz w:val="44"/>
      <w:szCs w:val="44"/>
    </w:rPr>
  </w:style>
  <w:style w:type="paragraph" w:styleId="11">
    <w:name w:val="annotation subject"/>
    <w:basedOn w:val="6"/>
    <w:next w:val="6"/>
    <w:link w:val="32"/>
    <w:autoRedefine/>
    <w:qFormat/>
    <w:uiPriority w:val="0"/>
    <w:rPr>
      <w:b/>
      <w:bC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annotation reference"/>
    <w:basedOn w:val="14"/>
    <w:autoRedefine/>
    <w:qFormat/>
    <w:uiPriority w:val="0"/>
    <w:rPr>
      <w:sz w:val="21"/>
      <w:szCs w:val="21"/>
    </w:rPr>
  </w:style>
  <w:style w:type="character" w:customStyle="1" w:styleId="17">
    <w:name w:val="页眉 字符"/>
    <w:basedOn w:val="14"/>
    <w:link w:val="9"/>
    <w:autoRedefine/>
    <w:qFormat/>
    <w:uiPriority w:val="0"/>
    <w:rPr>
      <w:kern w:val="2"/>
      <w:sz w:val="18"/>
      <w:szCs w:val="18"/>
    </w:rPr>
  </w:style>
  <w:style w:type="character" w:customStyle="1" w:styleId="18">
    <w:name w:val="页脚 字符"/>
    <w:basedOn w:val="14"/>
    <w:link w:val="8"/>
    <w:autoRedefine/>
    <w:qFormat/>
    <w:uiPriority w:val="0"/>
    <w:rPr>
      <w:kern w:val="2"/>
      <w:sz w:val="18"/>
      <w:szCs w:val="18"/>
    </w:rPr>
  </w:style>
  <w:style w:type="paragraph" w:customStyle="1" w:styleId="19">
    <w:name w:val="标准文件_二级条标题"/>
    <w:next w:val="1"/>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20">
    <w:name w:val="标准文件_三级条标题"/>
    <w:basedOn w:val="19"/>
    <w:next w:val="1"/>
    <w:autoRedefine/>
    <w:qFormat/>
    <w:uiPriority w:val="0"/>
    <w:pPr>
      <w:widowControl/>
      <w:numPr>
        <w:ilvl w:val="4"/>
      </w:numPr>
      <w:outlineLvl w:val="3"/>
    </w:pPr>
  </w:style>
  <w:style w:type="paragraph" w:customStyle="1" w:styleId="21">
    <w:name w:val="标准文件_四级条标题"/>
    <w:next w:val="1"/>
    <w:autoRedefine/>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22">
    <w:name w:val="标准文件_五级条标题"/>
    <w:next w:val="1"/>
    <w:autoRedefine/>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23">
    <w:name w:val="标准文件_章标题"/>
    <w:next w:val="1"/>
    <w:autoRedefine/>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24">
    <w:name w:val="标准文件_一级条标题"/>
    <w:basedOn w:val="23"/>
    <w:next w:val="1"/>
    <w:autoRedefine/>
    <w:qFormat/>
    <w:uiPriority w:val="0"/>
    <w:pPr>
      <w:numPr>
        <w:ilvl w:val="2"/>
      </w:numPr>
      <w:spacing w:beforeLines="50" w:afterLines="50"/>
      <w:outlineLvl w:val="1"/>
    </w:pPr>
  </w:style>
  <w:style w:type="paragraph" w:customStyle="1" w:styleId="25">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26">
    <w:name w:val="批注框文本 字符"/>
    <w:basedOn w:val="14"/>
    <w:link w:val="7"/>
    <w:autoRedefine/>
    <w:qFormat/>
    <w:uiPriority w:val="0"/>
    <w:rPr>
      <w:kern w:val="2"/>
      <w:sz w:val="18"/>
      <w:szCs w:val="18"/>
    </w:rPr>
  </w:style>
  <w:style w:type="paragraph" w:customStyle="1" w:styleId="27">
    <w:name w:val="标准文件_段"/>
    <w:link w:val="28"/>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8">
    <w:name w:val="标准文件_段 Char"/>
    <w:link w:val="27"/>
    <w:autoRedefine/>
    <w:qFormat/>
    <w:uiPriority w:val="0"/>
    <w:rPr>
      <w:rFonts w:ascii="宋体" w:hAnsi="Times New Roman" w:eastAsia="宋体" w:cs="Times New Roman"/>
      <w:sz w:val="21"/>
    </w:rPr>
  </w:style>
  <w:style w:type="paragraph" w:customStyle="1" w:styleId="29">
    <w:name w:val="标准文件_术语条一"/>
    <w:basedOn w:val="1"/>
    <w:next w:val="27"/>
    <w:autoRedefine/>
    <w:qFormat/>
    <w:uiPriority w:val="0"/>
    <w:pPr>
      <w:widowControl/>
      <w:spacing w:beforeLines="50" w:afterLines="50"/>
      <w:ind w:left="-420" w:leftChars="-200" w:firstLine="640" w:firstLineChars="200"/>
      <w:jc w:val="left"/>
    </w:pPr>
    <w:rPr>
      <w:rFonts w:ascii="宋体" w:hAnsi="Times New Roman" w:eastAsia="宋体" w:cs="Times New Roman"/>
      <w:kern w:val="0"/>
      <w:szCs w:val="20"/>
    </w:rPr>
  </w:style>
  <w:style w:type="paragraph" w:customStyle="1" w:styleId="30">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1">
    <w:name w:val="批注文字 字符"/>
    <w:basedOn w:val="14"/>
    <w:link w:val="6"/>
    <w:autoRedefine/>
    <w:qFormat/>
    <w:uiPriority w:val="0"/>
    <w:rPr>
      <w:rFonts w:asciiTheme="minorHAnsi" w:hAnsiTheme="minorHAnsi" w:eastAsiaTheme="minorEastAsia" w:cstheme="minorBidi"/>
      <w:kern w:val="2"/>
      <w:sz w:val="21"/>
      <w:szCs w:val="24"/>
    </w:rPr>
  </w:style>
  <w:style w:type="character" w:customStyle="1" w:styleId="32">
    <w:name w:val="批注主题 字符"/>
    <w:basedOn w:val="31"/>
    <w:link w:val="11"/>
    <w:autoRedefine/>
    <w:qFormat/>
    <w:uiPriority w:val="0"/>
    <w:rPr>
      <w:rFonts w:asciiTheme="minorHAnsi" w:hAnsiTheme="minorHAnsi" w:eastAsiaTheme="minorEastAsia" w:cstheme="minorBidi"/>
      <w:kern w:val="2"/>
      <w:sz w:val="21"/>
      <w:szCs w:val="24"/>
    </w:rPr>
  </w:style>
  <w:style w:type="character" w:customStyle="1" w:styleId="33">
    <w:name w:val="正文文本 字符"/>
    <w:basedOn w:val="14"/>
    <w:link w:val="3"/>
    <w:autoRedefine/>
    <w:qFormat/>
    <w:uiPriority w:val="1"/>
    <w:rPr>
      <w:rFonts w:asciiTheme="minorHAnsi" w:hAnsiTheme="minorHAnsi" w:eastAsiaTheme="minorEastAsia" w:cstheme="minorBidi"/>
      <w:kern w:val="2"/>
      <w:sz w:val="21"/>
      <w:szCs w:val="24"/>
    </w:rPr>
  </w:style>
  <w:style w:type="character" w:customStyle="1" w:styleId="34">
    <w:name w:val="标题 字符"/>
    <w:basedOn w:val="14"/>
    <w:link w:val="10"/>
    <w:qFormat/>
    <w:uiPriority w:val="1"/>
    <w:rPr>
      <w:rFonts w:ascii="仿宋" w:hAnsi="仿宋" w:eastAsia="仿宋" w:cs="仿宋"/>
      <w:b/>
      <w:bCs/>
      <w:sz w:val="44"/>
      <w:szCs w:val="44"/>
    </w:rPr>
  </w:style>
  <w:style w:type="character" w:customStyle="1" w:styleId="35">
    <w:name w:val="标题 1 字符"/>
    <w:basedOn w:val="14"/>
    <w:link w:val="4"/>
    <w:qFormat/>
    <w:uiPriority w:val="1"/>
    <w:rPr>
      <w:rFonts w:ascii="仿宋" w:hAnsi="仿宋" w:eastAsia="仿宋" w:cs="仿宋"/>
      <w:b/>
      <w:bCs/>
      <w:sz w:val="28"/>
      <w:szCs w:val="28"/>
    </w:rPr>
  </w:style>
  <w:style w:type="character" w:customStyle="1" w:styleId="36">
    <w:name w:val="标题 2 字符"/>
    <w:basedOn w:val="14"/>
    <w:link w:val="5"/>
    <w:qFormat/>
    <w:uiPriority w:val="1"/>
    <w:rPr>
      <w:rFonts w:ascii="仿宋" w:hAnsi="仿宋" w:eastAsia="仿宋" w:cs="仿宋"/>
      <w:b/>
      <w:bCs/>
      <w:sz w:val="24"/>
      <w:szCs w:val="24"/>
    </w:rPr>
  </w:style>
  <w:style w:type="paragraph" w:styleId="37">
    <w:name w:val="List Paragraph"/>
    <w:basedOn w:val="1"/>
    <w:qFormat/>
    <w:uiPriority w:val="1"/>
    <w:pPr>
      <w:autoSpaceDE w:val="0"/>
      <w:autoSpaceDN w:val="0"/>
      <w:spacing w:before="2"/>
      <w:ind w:left="1341" w:hanging="663"/>
      <w:jc w:val="left"/>
    </w:pPr>
    <w:rPr>
      <w:rFonts w:ascii="仿宋" w:hAnsi="仿宋" w:eastAsia="仿宋" w:cs="仿宋"/>
      <w:kern w:val="0"/>
      <w:sz w:val="22"/>
      <w:szCs w:val="22"/>
    </w:rPr>
  </w:style>
  <w:style w:type="paragraph" w:customStyle="1" w:styleId="38">
    <w:name w:val="修订2"/>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20AB-A0C5-4174-A26A-34C45ACE633B}">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9526</Words>
  <Characters>9892</Characters>
  <Lines>72</Lines>
  <Paragraphs>20</Paragraphs>
  <TotalTime>0</TotalTime>
  <ScaleCrop>false</ScaleCrop>
  <LinksUpToDate>false</LinksUpToDate>
  <CharactersWithSpaces>9993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2024-08-27T03:00:00Z</dcterms:created>
  <dc:creator>金蕾</dc:creator>
  <cp:lastModifiedBy>文档存本地丢失不负责</cp:lastModifiedBy>
  <cp:lastPrinted>2024-04-12T13:09:00Z</cp:lastPrinted>
  <dcterms:modified xsi:type="dcterms:W3CDTF">2024-08-27T06:20:09Z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3816A9D415E942E98D5CFC3266314C68_13</vt:lpwstr>
  </property>
</Properties>
</file>